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EEACE5E">
      <w:pPr>
        <w:pStyle w:val="12"/>
        <w:spacing w:line="250" w:lineRule="auto"/>
        <w:jc w:val="center"/>
        <w:rPr>
          <w:rFonts w:hint="default" w:ascii="方正小标宋简体" w:hAnsi="方正小标宋简体" w:eastAsia="方正小标宋简体" w:cs="方正小标宋简体"/>
          <w:color w:val="auto"/>
          <w:sz w:val="44"/>
          <w:highlight w:val="none"/>
        </w:rPr>
      </w:pPr>
      <w:bookmarkStart w:id="45" w:name="_GoBack"/>
      <w:r>
        <w:rPr>
          <w:rFonts w:ascii="方正小标宋简体" w:hAnsi="方正小标宋简体" w:eastAsia="方正小标宋简体" w:cs="方正小标宋简体"/>
          <w:color w:val="auto"/>
          <w:sz w:val="44"/>
          <w:highlight w:val="none"/>
        </w:rPr>
        <w:t>四川宜叙高速公路开发有限责任公司</w:t>
      </w:r>
    </w:p>
    <w:p w14:paraId="76D0A116">
      <w:pPr>
        <w:pStyle w:val="12"/>
        <w:spacing w:line="250" w:lineRule="auto"/>
        <w:jc w:val="center"/>
        <w:rPr>
          <w:rFonts w:hint="default"/>
          <w:color w:val="auto"/>
          <w:highlight w:val="none"/>
        </w:rPr>
      </w:pPr>
      <w:r>
        <w:rPr>
          <w:rFonts w:ascii="方正小标宋_GBK" w:hAnsi="方正小标宋_GBK" w:eastAsia="方正小标宋_GBK" w:cs="方正小标宋_GBK"/>
          <w:color w:val="auto"/>
          <w:sz w:val="44"/>
          <w:szCs w:val="44"/>
          <w:highlight w:val="none"/>
        </w:rPr>
        <w:t>（长宁</w:t>
      </w:r>
      <w:r>
        <w:rPr>
          <w:rFonts w:hint="eastAsia" w:ascii="方正小标宋_GBK" w:hAnsi="方正小标宋_GBK" w:eastAsia="方正小标宋_GBK" w:cs="方正小标宋_GBK"/>
          <w:color w:val="auto"/>
          <w:sz w:val="44"/>
          <w:szCs w:val="44"/>
          <w:highlight w:val="none"/>
          <w:lang w:val="en-US" w:eastAsia="zh-CN"/>
        </w:rPr>
        <w:t>段</w:t>
      </w:r>
      <w:r>
        <w:rPr>
          <w:rFonts w:ascii="方正小标宋_GBK" w:hAnsi="方正小标宋_GBK" w:eastAsia="方正小标宋_GBK" w:cs="方正小标宋_GBK"/>
          <w:color w:val="auto"/>
          <w:sz w:val="44"/>
          <w:szCs w:val="44"/>
          <w:highlight w:val="none"/>
        </w:rPr>
        <w:t>）土地测绘和地籍调查</w:t>
      </w:r>
      <w:r>
        <w:rPr>
          <w:rFonts w:ascii="方正小标宋简体" w:hAnsi="方正小标宋简体" w:eastAsia="方正小标宋简体" w:cs="方正小标宋简体"/>
          <w:color w:val="auto"/>
          <w:sz w:val="44"/>
          <w:highlight w:val="none"/>
        </w:rPr>
        <w:t>项目</w:t>
      </w:r>
    </w:p>
    <w:p w14:paraId="2D13BB4F">
      <w:pPr>
        <w:pStyle w:val="12"/>
        <w:spacing w:line="250" w:lineRule="auto"/>
        <w:ind w:left="0"/>
        <w:rPr>
          <w:rFonts w:hint="default"/>
          <w:color w:val="auto"/>
          <w:highlight w:val="none"/>
        </w:rPr>
      </w:pPr>
    </w:p>
    <w:p w14:paraId="00C6176D">
      <w:pPr>
        <w:pStyle w:val="12"/>
        <w:spacing w:line="250" w:lineRule="auto"/>
        <w:rPr>
          <w:rFonts w:hint="default"/>
          <w:color w:val="auto"/>
          <w:highlight w:val="none"/>
        </w:rPr>
      </w:pPr>
    </w:p>
    <w:p w14:paraId="0C8F6970">
      <w:pPr>
        <w:pStyle w:val="12"/>
        <w:spacing w:line="250" w:lineRule="auto"/>
        <w:rPr>
          <w:rFonts w:hint="default"/>
          <w:color w:val="auto"/>
          <w:highlight w:val="none"/>
        </w:rPr>
      </w:pPr>
    </w:p>
    <w:p w14:paraId="0CC8F6F3">
      <w:pPr>
        <w:pStyle w:val="12"/>
        <w:spacing w:line="250" w:lineRule="auto"/>
        <w:rPr>
          <w:rFonts w:hint="default"/>
          <w:color w:val="auto"/>
          <w:highlight w:val="none"/>
        </w:rPr>
      </w:pPr>
    </w:p>
    <w:p w14:paraId="1C4964FC">
      <w:pPr>
        <w:pStyle w:val="12"/>
        <w:spacing w:line="250" w:lineRule="auto"/>
        <w:rPr>
          <w:rFonts w:hint="default"/>
          <w:color w:val="auto"/>
          <w:highlight w:val="none"/>
        </w:rPr>
      </w:pPr>
    </w:p>
    <w:p w14:paraId="586D82FE">
      <w:pPr>
        <w:pStyle w:val="12"/>
        <w:spacing w:line="250" w:lineRule="auto"/>
        <w:ind w:left="0"/>
        <w:rPr>
          <w:rFonts w:hint="default"/>
          <w:color w:val="auto"/>
          <w:highlight w:val="none"/>
        </w:rPr>
      </w:pPr>
    </w:p>
    <w:p w14:paraId="492CFE87">
      <w:pPr>
        <w:pStyle w:val="12"/>
        <w:spacing w:line="250" w:lineRule="auto"/>
        <w:rPr>
          <w:rFonts w:hint="default"/>
          <w:color w:val="auto"/>
          <w:highlight w:val="none"/>
        </w:rPr>
      </w:pPr>
    </w:p>
    <w:p w14:paraId="573CE0BB">
      <w:pPr>
        <w:pStyle w:val="12"/>
        <w:spacing w:line="250" w:lineRule="auto"/>
        <w:rPr>
          <w:rFonts w:hint="default"/>
          <w:color w:val="auto"/>
          <w:highlight w:val="none"/>
        </w:rPr>
      </w:pPr>
    </w:p>
    <w:p w14:paraId="133234B5">
      <w:pPr>
        <w:pStyle w:val="12"/>
        <w:spacing w:line="242" w:lineRule="auto"/>
        <w:ind w:firstLine="1576" w:firstLineChars="200"/>
        <w:jc w:val="both"/>
        <w:outlineLvl w:val="0"/>
        <w:rPr>
          <w:rFonts w:hint="default"/>
          <w:color w:val="auto"/>
          <w:highlight w:val="none"/>
        </w:rPr>
      </w:pPr>
      <w:bookmarkStart w:id="0" w:name="_Toc29552"/>
      <w:bookmarkStart w:id="1" w:name="_Toc22610"/>
      <w:r>
        <w:rPr>
          <w:rFonts w:cs="宋体"/>
          <w:color w:val="auto"/>
          <w:spacing w:val="-21"/>
          <w:sz w:val="83"/>
          <w:szCs w:val="83"/>
          <w:highlight w:val="none"/>
        </w:rPr>
        <w:t>公开</w:t>
      </w:r>
      <w:bookmarkEnd w:id="0"/>
      <w:bookmarkEnd w:id="1"/>
      <w:r>
        <w:rPr>
          <w:rFonts w:cs="宋体"/>
          <w:color w:val="auto"/>
          <w:spacing w:val="-21"/>
          <w:sz w:val="83"/>
          <w:szCs w:val="83"/>
          <w:highlight w:val="none"/>
        </w:rPr>
        <w:t>招选文件</w:t>
      </w:r>
    </w:p>
    <w:p w14:paraId="51CE3F9A">
      <w:pPr>
        <w:pStyle w:val="12"/>
        <w:spacing w:line="242" w:lineRule="auto"/>
        <w:rPr>
          <w:rFonts w:hint="default"/>
          <w:color w:val="auto"/>
          <w:highlight w:val="none"/>
        </w:rPr>
      </w:pPr>
    </w:p>
    <w:p w14:paraId="4764B526">
      <w:pPr>
        <w:pStyle w:val="12"/>
        <w:spacing w:line="242" w:lineRule="auto"/>
        <w:rPr>
          <w:rFonts w:hint="default"/>
          <w:color w:val="auto"/>
          <w:highlight w:val="none"/>
        </w:rPr>
      </w:pPr>
    </w:p>
    <w:p w14:paraId="65FFB00B">
      <w:pPr>
        <w:pStyle w:val="12"/>
        <w:spacing w:line="242" w:lineRule="auto"/>
        <w:ind w:left="0"/>
        <w:rPr>
          <w:rFonts w:hint="default"/>
          <w:color w:val="auto"/>
          <w:highlight w:val="none"/>
        </w:rPr>
      </w:pPr>
    </w:p>
    <w:p w14:paraId="27774701">
      <w:pPr>
        <w:pStyle w:val="12"/>
        <w:spacing w:line="242" w:lineRule="auto"/>
        <w:rPr>
          <w:rFonts w:hint="default"/>
          <w:color w:val="auto"/>
          <w:highlight w:val="none"/>
        </w:rPr>
      </w:pPr>
    </w:p>
    <w:p w14:paraId="2299F32A">
      <w:pPr>
        <w:pStyle w:val="12"/>
        <w:spacing w:line="243" w:lineRule="auto"/>
        <w:ind w:left="0"/>
        <w:rPr>
          <w:rFonts w:hint="default"/>
          <w:color w:val="auto"/>
          <w:highlight w:val="none"/>
        </w:rPr>
      </w:pPr>
    </w:p>
    <w:p w14:paraId="0BAD5B42">
      <w:pPr>
        <w:pStyle w:val="14"/>
        <w:rPr>
          <w:color w:val="auto"/>
          <w:highlight w:val="none"/>
        </w:rPr>
      </w:pPr>
    </w:p>
    <w:p w14:paraId="25CB8A2F">
      <w:pPr>
        <w:pStyle w:val="14"/>
        <w:rPr>
          <w:color w:val="auto"/>
          <w:highlight w:val="none"/>
        </w:rPr>
      </w:pPr>
    </w:p>
    <w:p w14:paraId="1C3523BD">
      <w:pPr>
        <w:pStyle w:val="12"/>
        <w:spacing w:line="243" w:lineRule="auto"/>
        <w:rPr>
          <w:rFonts w:hint="default"/>
          <w:color w:val="auto"/>
          <w:highlight w:val="none"/>
        </w:rPr>
      </w:pPr>
    </w:p>
    <w:p w14:paraId="3A21AFB0">
      <w:pPr>
        <w:pStyle w:val="12"/>
        <w:spacing w:line="243" w:lineRule="auto"/>
        <w:rPr>
          <w:rFonts w:hint="default"/>
          <w:color w:val="auto"/>
          <w:highlight w:val="none"/>
        </w:rPr>
      </w:pPr>
    </w:p>
    <w:p w14:paraId="049DDB44">
      <w:pPr>
        <w:pStyle w:val="12"/>
        <w:spacing w:line="243" w:lineRule="auto"/>
        <w:rPr>
          <w:rFonts w:hint="default"/>
          <w:color w:val="auto"/>
          <w:highlight w:val="none"/>
        </w:rPr>
      </w:pPr>
    </w:p>
    <w:p w14:paraId="3AF4A857">
      <w:pPr>
        <w:spacing w:before="101" w:line="840" w:lineRule="exact"/>
        <w:ind w:left="1136"/>
        <w:rPr>
          <w:rFonts w:ascii="宋体" w:hAnsi="宋体" w:cs="宋体"/>
          <w:color w:val="auto"/>
          <w:sz w:val="31"/>
          <w:szCs w:val="31"/>
          <w:highlight w:val="none"/>
        </w:rPr>
      </w:pPr>
      <w:r>
        <w:rPr>
          <w:rFonts w:ascii="宋体" w:hAnsi="宋体" w:cs="宋体"/>
          <w:color w:val="auto"/>
          <w:spacing w:val="10"/>
          <w:position w:val="40"/>
          <w:sz w:val="31"/>
          <w:szCs w:val="31"/>
          <w:highlight w:val="none"/>
        </w:rPr>
        <w:t>招</w:t>
      </w:r>
      <w:r>
        <w:rPr>
          <w:rFonts w:hint="eastAsia" w:ascii="宋体" w:hAnsi="宋体" w:cs="宋体"/>
          <w:color w:val="auto"/>
          <w:spacing w:val="10"/>
          <w:position w:val="40"/>
          <w:sz w:val="31"/>
          <w:szCs w:val="31"/>
          <w:highlight w:val="none"/>
        </w:rPr>
        <w:t>选</w:t>
      </w:r>
      <w:r>
        <w:rPr>
          <w:rFonts w:ascii="宋体" w:hAnsi="宋体" w:cs="宋体"/>
          <w:color w:val="auto"/>
          <w:spacing w:val="10"/>
          <w:position w:val="40"/>
          <w:sz w:val="31"/>
          <w:szCs w:val="31"/>
          <w:highlight w:val="none"/>
        </w:rPr>
        <w:t>人：四川宜叙高速公路开发有限责任公司</w:t>
      </w:r>
    </w:p>
    <w:p w14:paraId="1F4AC80A">
      <w:pPr>
        <w:spacing w:before="1" w:line="224" w:lineRule="auto"/>
        <w:ind w:firstLine="2934" w:firstLineChars="900"/>
        <w:rPr>
          <w:rFonts w:ascii="宋体" w:hAnsi="宋体" w:cs="宋体"/>
          <w:color w:val="auto"/>
          <w:sz w:val="31"/>
          <w:szCs w:val="31"/>
          <w:highlight w:val="none"/>
        </w:rPr>
      </w:pPr>
      <w:r>
        <w:rPr>
          <w:rFonts w:ascii="宋体" w:hAnsi="宋体" w:cs="宋体"/>
          <w:color w:val="auto"/>
          <w:spacing w:val="8"/>
          <w:sz w:val="31"/>
          <w:szCs w:val="31"/>
          <w:highlight w:val="none"/>
        </w:rPr>
        <w:t>二○二</w:t>
      </w:r>
      <w:r>
        <w:rPr>
          <w:rFonts w:hint="eastAsia" w:ascii="宋体" w:hAnsi="宋体" w:cs="宋体"/>
          <w:color w:val="auto"/>
          <w:spacing w:val="8"/>
          <w:sz w:val="31"/>
          <w:szCs w:val="31"/>
          <w:highlight w:val="none"/>
        </w:rPr>
        <w:t>四</w:t>
      </w:r>
      <w:r>
        <w:rPr>
          <w:rFonts w:ascii="宋体" w:hAnsi="宋体" w:cs="宋体"/>
          <w:color w:val="auto"/>
          <w:spacing w:val="8"/>
          <w:sz w:val="31"/>
          <w:szCs w:val="31"/>
          <w:highlight w:val="none"/>
        </w:rPr>
        <w:t>年</w:t>
      </w:r>
      <w:r>
        <w:rPr>
          <w:rFonts w:hint="eastAsia" w:ascii="宋体" w:hAnsi="宋体" w:cs="宋体"/>
          <w:color w:val="auto"/>
          <w:spacing w:val="8"/>
          <w:sz w:val="31"/>
          <w:szCs w:val="31"/>
          <w:highlight w:val="none"/>
        </w:rPr>
        <w:t>十一</w:t>
      </w:r>
      <w:r>
        <w:rPr>
          <w:rFonts w:ascii="宋体" w:hAnsi="宋体" w:cs="宋体"/>
          <w:color w:val="auto"/>
          <w:spacing w:val="8"/>
          <w:sz w:val="31"/>
          <w:szCs w:val="31"/>
          <w:highlight w:val="none"/>
        </w:rPr>
        <w:t>月</w:t>
      </w:r>
    </w:p>
    <w:p w14:paraId="4C033E53">
      <w:pPr>
        <w:spacing w:line="224" w:lineRule="auto"/>
        <w:rPr>
          <w:rFonts w:ascii="宋体" w:hAnsi="宋体" w:cs="宋体"/>
          <w:color w:val="auto"/>
          <w:sz w:val="31"/>
          <w:szCs w:val="31"/>
          <w:highlight w:val="none"/>
        </w:rPr>
        <w:sectPr>
          <w:headerReference r:id="rId3" w:type="default"/>
          <w:pgSz w:w="11906" w:h="16839"/>
          <w:pgMar w:top="1431" w:right="1785" w:bottom="0" w:left="1785" w:header="0" w:footer="0" w:gutter="0"/>
          <w:cols w:space="720" w:num="1"/>
        </w:sectPr>
      </w:pPr>
    </w:p>
    <w:p w14:paraId="5095778F">
      <w:pPr>
        <w:pStyle w:val="12"/>
        <w:kinsoku w:val="0"/>
        <w:overflowPunct w:val="0"/>
        <w:spacing w:before="0" w:line="360" w:lineRule="auto"/>
        <w:ind w:left="204"/>
        <w:jc w:val="center"/>
        <w:rPr>
          <w:rFonts w:hint="default" w:ascii="方正小标宋_GBK" w:hAnsi="方正小标宋_GBK" w:eastAsia="方正小标宋_GBK" w:cs="方正小标宋_GBK"/>
          <w:color w:val="auto"/>
          <w:sz w:val="44"/>
          <w:highlight w:val="none"/>
        </w:rPr>
      </w:pPr>
      <w:r>
        <w:rPr>
          <w:rFonts w:ascii="方正小标宋_GBK" w:hAnsi="方正小标宋_GBK" w:eastAsia="方正小标宋_GBK" w:cs="方正小标宋_GBK"/>
          <w:b/>
          <w:color w:val="auto"/>
          <w:sz w:val="44"/>
          <w:highlight w:val="none"/>
        </w:rPr>
        <w:t>前 言</w:t>
      </w:r>
    </w:p>
    <w:p w14:paraId="60589CBE">
      <w:pPr>
        <w:pStyle w:val="12"/>
        <w:kinsoku w:val="0"/>
        <w:overflowPunct w:val="0"/>
        <w:spacing w:before="0" w:line="560" w:lineRule="exact"/>
        <w:ind w:left="0" w:firstLine="640" w:firstLineChars="200"/>
        <w:jc w:val="both"/>
        <w:rPr>
          <w:rFonts w:hint="default"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本招选文件是以《中华人民共和国招标投标法》、《中华人民共和国招标投标法实施条例》（国务院令第709号第三次修订）、国务院办公厅《关于清理规范工程建设领域保证金的通知》（国办发〔2016〕49号等）、国家九部委2013年第23号令《关于废止和修改部分招标投标规章和规范性文件的决定》，由本项目招选人结合本项目实际情况编写的。</w:t>
      </w:r>
    </w:p>
    <w:p w14:paraId="72F4041C">
      <w:pPr>
        <w:pStyle w:val="12"/>
        <w:kinsoku w:val="0"/>
        <w:overflowPunct w:val="0"/>
        <w:spacing w:before="0" w:line="560" w:lineRule="exact"/>
        <w:ind w:left="0" w:firstLine="640" w:firstLineChars="200"/>
        <w:jc w:val="both"/>
        <w:rPr>
          <w:rFonts w:hint="default" w:ascii="仿宋_GB2312" w:hAnsi="仿宋_GB2312" w:eastAsia="仿宋_GB2312" w:cs="仿宋_GB2312"/>
          <w:color w:val="auto"/>
          <w:sz w:val="32"/>
          <w:szCs w:val="32"/>
          <w:highlight w:val="none"/>
        </w:rPr>
      </w:pPr>
    </w:p>
    <w:p w14:paraId="322B0D05">
      <w:pPr>
        <w:pStyle w:val="12"/>
        <w:kinsoku w:val="0"/>
        <w:overflowPunct w:val="0"/>
        <w:spacing w:before="0" w:line="560" w:lineRule="exact"/>
        <w:ind w:left="0" w:firstLine="640" w:firstLineChars="200"/>
        <w:jc w:val="both"/>
        <w:rPr>
          <w:rFonts w:hint="default"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执行中如对本文件进行任何修改都须经招选人书面同意。</w:t>
      </w:r>
    </w:p>
    <w:p w14:paraId="657EF2BD">
      <w:pPr>
        <w:pStyle w:val="12"/>
        <w:kinsoku w:val="0"/>
        <w:overflowPunct w:val="0"/>
        <w:spacing w:before="0" w:line="560" w:lineRule="exact"/>
        <w:ind w:left="0" w:firstLine="640" w:firstLineChars="200"/>
        <w:jc w:val="both"/>
        <w:rPr>
          <w:rFonts w:hint="default"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本招选文件的解释权归招选人。</w:t>
      </w:r>
    </w:p>
    <w:p w14:paraId="098D09F4">
      <w:pPr>
        <w:pStyle w:val="12"/>
        <w:kinsoku w:val="0"/>
        <w:overflowPunct w:val="0"/>
        <w:spacing w:before="0" w:line="560" w:lineRule="exact"/>
        <w:ind w:left="0" w:firstLine="640" w:firstLineChars="200"/>
        <w:jc w:val="both"/>
        <w:rPr>
          <w:rFonts w:hint="default"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本招选文件未经许可不得翻印，否则将依法予以追究。</w:t>
      </w:r>
    </w:p>
    <w:p w14:paraId="14EA46DD">
      <w:pPr>
        <w:pStyle w:val="12"/>
        <w:kinsoku w:val="0"/>
        <w:overflowPunct w:val="0"/>
        <w:spacing w:before="125" w:line="360" w:lineRule="auto"/>
        <w:ind w:left="0"/>
        <w:jc w:val="both"/>
        <w:rPr>
          <w:rFonts w:hint="default" w:cs="宋体"/>
          <w:color w:val="auto"/>
          <w:sz w:val="24"/>
          <w:highlight w:val="none"/>
        </w:rPr>
        <w:sectPr>
          <w:footerReference r:id="rId4" w:type="default"/>
          <w:pgSz w:w="11906" w:h="16839"/>
          <w:pgMar w:top="1398" w:right="1134" w:bottom="0" w:left="1483" w:header="0" w:footer="0" w:gutter="0"/>
          <w:cols w:space="720" w:num="1"/>
        </w:sectPr>
      </w:pPr>
    </w:p>
    <w:p w14:paraId="3D6A7F6D">
      <w:pPr>
        <w:pStyle w:val="12"/>
        <w:kinsoku w:val="0"/>
        <w:overflowPunct w:val="0"/>
        <w:spacing w:before="0" w:line="360" w:lineRule="auto"/>
        <w:ind w:left="84" w:right="179"/>
        <w:jc w:val="center"/>
        <w:outlineLvl w:val="0"/>
        <w:rPr>
          <w:rFonts w:hint="default" w:cs="宋体"/>
          <w:b/>
          <w:color w:val="auto"/>
          <w:sz w:val="44"/>
          <w:highlight w:val="none"/>
        </w:rPr>
      </w:pPr>
      <w:bookmarkStart w:id="2" w:name="_Toc24447"/>
      <w:bookmarkStart w:id="3" w:name="_Toc20901"/>
      <w:bookmarkStart w:id="4" w:name="_Toc11399"/>
      <w:bookmarkStart w:id="5" w:name="_Toc22981"/>
    </w:p>
    <w:p w14:paraId="53A73C0B">
      <w:pPr>
        <w:pStyle w:val="12"/>
        <w:kinsoku w:val="0"/>
        <w:overflowPunct w:val="0"/>
        <w:spacing w:before="0" w:line="360" w:lineRule="auto"/>
        <w:ind w:left="84" w:right="179"/>
        <w:jc w:val="center"/>
        <w:outlineLvl w:val="0"/>
        <w:rPr>
          <w:rFonts w:hint="default" w:ascii="方正小标宋_GBK" w:hAnsi="方正小标宋_GBK" w:eastAsia="方正小标宋_GBK" w:cs="方正小标宋_GBK"/>
          <w:bCs/>
          <w:color w:val="auto"/>
          <w:sz w:val="44"/>
          <w:highlight w:val="none"/>
        </w:rPr>
      </w:pPr>
      <w:bookmarkStart w:id="6" w:name="_Toc1222"/>
      <w:r>
        <w:rPr>
          <w:rFonts w:ascii="方正小标宋_GBK" w:hAnsi="方正小标宋_GBK" w:eastAsia="方正小标宋_GBK" w:cs="方正小标宋_GBK"/>
          <w:bCs/>
          <w:color w:val="auto"/>
          <w:sz w:val="44"/>
          <w:highlight w:val="none"/>
        </w:rPr>
        <w:t>目  录</w:t>
      </w:r>
      <w:bookmarkEnd w:id="2"/>
      <w:bookmarkEnd w:id="3"/>
      <w:bookmarkEnd w:id="4"/>
      <w:bookmarkEnd w:id="5"/>
      <w:bookmarkEnd w:id="6"/>
    </w:p>
    <w:p w14:paraId="18913886">
      <w:pPr>
        <w:pStyle w:val="18"/>
        <w:tabs>
          <w:tab w:val="right" w:leader="dot" w:pos="9740"/>
        </w:tabs>
        <w:rPr>
          <w:color w:val="auto"/>
          <w:highlight w:val="none"/>
        </w:rPr>
      </w:pPr>
      <w:r>
        <w:rPr>
          <w:rFonts w:hint="eastAsia" w:ascii="宋体" w:hAnsi="宋体" w:cs="宋体"/>
          <w:color w:val="auto"/>
          <w:sz w:val="20"/>
          <w:highlight w:val="none"/>
        </w:rPr>
        <w:fldChar w:fldCharType="begin"/>
      </w:r>
      <w:r>
        <w:rPr>
          <w:rFonts w:hint="eastAsia" w:ascii="宋体" w:hAnsi="宋体" w:cs="宋体"/>
          <w:color w:val="auto"/>
          <w:sz w:val="20"/>
          <w:highlight w:val="none"/>
        </w:rPr>
        <w:instrText xml:space="preserve">TOC \o "1-1" \h \u </w:instrText>
      </w:r>
      <w:r>
        <w:rPr>
          <w:rFonts w:hint="eastAsia" w:ascii="宋体" w:hAnsi="宋体" w:cs="宋体"/>
          <w:color w:val="auto"/>
          <w:sz w:val="20"/>
          <w:highlight w:val="none"/>
        </w:rPr>
        <w:fldChar w:fldCharType="separate"/>
      </w:r>
    </w:p>
    <w:p w14:paraId="46270A58">
      <w:pPr>
        <w:pStyle w:val="18"/>
        <w:tabs>
          <w:tab w:val="right" w:leader="dot" w:pos="9740"/>
        </w:tabs>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"_Toc18987" </w:instrText>
      </w:r>
      <w:r>
        <w:rPr>
          <w:color w:val="auto"/>
          <w:highlight w:val="none"/>
        </w:rPr>
        <w:fldChar w:fldCharType="separate"/>
      </w:r>
      <w:r>
        <w:rPr>
          <w:rFonts w:hint="eastAsia" w:ascii="仿宋_GB2312" w:hAnsi="仿宋_GB2312" w:eastAsia="仿宋_GB2312" w:cs="仿宋_GB2312"/>
          <w:color w:val="auto"/>
          <w:sz w:val="32"/>
          <w:szCs w:val="32"/>
          <w:highlight w:val="none"/>
        </w:rPr>
        <w:t>第一章  招选公告</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_Toc18987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14:paraId="5F79516D">
      <w:pPr>
        <w:pStyle w:val="18"/>
        <w:tabs>
          <w:tab w:val="right" w:leader="dot" w:pos="9740"/>
        </w:tabs>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"_Toc14634" </w:instrText>
      </w:r>
      <w:r>
        <w:rPr>
          <w:color w:val="auto"/>
          <w:highlight w:val="none"/>
        </w:rPr>
        <w:fldChar w:fldCharType="separate"/>
      </w:r>
      <w:r>
        <w:rPr>
          <w:rFonts w:hint="eastAsia" w:ascii="仿宋_GB2312" w:hAnsi="仿宋_GB2312" w:eastAsia="仿宋_GB2312" w:cs="仿宋_GB2312"/>
          <w:color w:val="auto"/>
          <w:sz w:val="32"/>
          <w:szCs w:val="32"/>
          <w:highlight w:val="none"/>
        </w:rPr>
        <w:t>第二章  比选人须知</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_Toc14634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14:paraId="228FEC9E">
      <w:pPr>
        <w:pStyle w:val="18"/>
        <w:tabs>
          <w:tab w:val="right" w:leader="dot" w:pos="9740"/>
        </w:tabs>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"_Toc8047" </w:instrText>
      </w:r>
      <w:r>
        <w:rPr>
          <w:color w:val="auto"/>
          <w:highlight w:val="none"/>
        </w:rPr>
        <w:fldChar w:fldCharType="separate"/>
      </w:r>
      <w:r>
        <w:rPr>
          <w:rFonts w:hint="eastAsia" w:ascii="仿宋_GB2312" w:hAnsi="仿宋_GB2312" w:eastAsia="仿宋_GB2312" w:cs="仿宋_GB2312"/>
          <w:color w:val="auto"/>
          <w:sz w:val="32"/>
          <w:szCs w:val="32"/>
          <w:highlight w:val="none"/>
        </w:rPr>
        <w:t>第三章  招选办法</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_Toc8047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31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14:paraId="3170D3F4">
      <w:pPr>
        <w:pStyle w:val="18"/>
        <w:tabs>
          <w:tab w:val="right" w:leader="dot" w:pos="9740"/>
        </w:tabs>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"_Toc5269" </w:instrText>
      </w:r>
      <w:r>
        <w:rPr>
          <w:color w:val="auto"/>
          <w:highlight w:val="none"/>
        </w:rPr>
        <w:fldChar w:fldCharType="separate"/>
      </w:r>
      <w:r>
        <w:rPr>
          <w:rFonts w:hint="eastAsia" w:ascii="仿宋_GB2312" w:hAnsi="仿宋_GB2312" w:eastAsia="仿宋_GB2312" w:cs="仿宋_GB2312"/>
          <w:color w:val="auto"/>
          <w:sz w:val="32"/>
          <w:szCs w:val="32"/>
          <w:highlight w:val="none"/>
        </w:rPr>
        <w:t>第四章 合同附件格式</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_Toc5269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37</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14:paraId="674593BF">
      <w:pPr>
        <w:pStyle w:val="18"/>
        <w:tabs>
          <w:tab w:val="right" w:leader="dot" w:pos="9740"/>
        </w:tabs>
        <w:rPr>
          <w:color w:val="auto"/>
          <w:highlight w:val="none"/>
        </w:rPr>
      </w:pPr>
      <w:r>
        <w:rPr>
          <w:color w:val="auto"/>
          <w:highlight w:val="none"/>
        </w:rPr>
        <w:fldChar w:fldCharType="begin"/>
      </w:r>
      <w:r>
        <w:rPr>
          <w:color w:val="auto"/>
          <w:highlight w:val="none"/>
        </w:rPr>
        <w:instrText xml:space="preserve"> HYPERLINK \l "_Toc1490" </w:instrText>
      </w:r>
      <w:r>
        <w:rPr>
          <w:color w:val="auto"/>
          <w:highlight w:val="none"/>
        </w:rPr>
        <w:fldChar w:fldCharType="separate"/>
      </w:r>
      <w:r>
        <w:rPr>
          <w:rFonts w:hint="eastAsia" w:ascii="仿宋_GB2312" w:hAnsi="仿宋_GB2312" w:eastAsia="仿宋_GB2312" w:cs="仿宋_GB2312"/>
          <w:color w:val="auto"/>
          <w:sz w:val="32"/>
          <w:szCs w:val="32"/>
          <w:highlight w:val="none"/>
        </w:rPr>
        <w:t>第五章 比选文件格式</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_Toc1490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42</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14:paraId="3C5241AA">
      <w:pPr>
        <w:pStyle w:val="18"/>
        <w:tabs>
          <w:tab w:val="right" w:leader="dot" w:pos="9740"/>
        </w:tabs>
        <w:rPr>
          <w:color w:val="auto"/>
          <w:highlight w:val="none"/>
        </w:rPr>
      </w:pPr>
    </w:p>
    <w:p w14:paraId="6830AE50">
      <w:pPr>
        <w:pStyle w:val="12"/>
        <w:kinsoku w:val="0"/>
        <w:overflowPunct w:val="0"/>
        <w:spacing w:before="0" w:line="360" w:lineRule="auto"/>
        <w:ind w:left="0"/>
        <w:rPr>
          <w:rFonts w:hint="default" w:cs="宋体"/>
          <w:color w:val="auto"/>
          <w:sz w:val="20"/>
          <w:highlight w:val="none"/>
        </w:rPr>
      </w:pPr>
      <w:r>
        <w:rPr>
          <w:rFonts w:cs="宋体"/>
          <w:color w:val="auto"/>
          <w:highlight w:val="none"/>
        </w:rPr>
        <w:fldChar w:fldCharType="end"/>
      </w:r>
    </w:p>
    <w:p w14:paraId="03289613">
      <w:pPr>
        <w:pStyle w:val="12"/>
        <w:kinsoku w:val="0"/>
        <w:overflowPunct w:val="0"/>
        <w:spacing w:before="0" w:line="360" w:lineRule="auto"/>
        <w:ind w:left="0"/>
        <w:rPr>
          <w:rFonts w:hint="default" w:cs="宋体"/>
          <w:color w:val="auto"/>
          <w:sz w:val="20"/>
          <w:highlight w:val="none"/>
        </w:rPr>
      </w:pPr>
    </w:p>
    <w:p w14:paraId="7DE1C332">
      <w:pPr>
        <w:spacing w:line="360" w:lineRule="auto"/>
        <w:rPr>
          <w:rFonts w:ascii="宋体" w:hAnsi="宋体" w:cs="宋体"/>
          <w:color w:val="auto"/>
          <w:highlight w:val="none"/>
        </w:rPr>
        <w:sectPr>
          <w:headerReference r:id="rId5" w:type="default"/>
          <w:footerReference r:id="rId6" w:type="default"/>
          <w:pgSz w:w="11900" w:h="16840"/>
          <w:pgMar w:top="1440" w:right="1080" w:bottom="1440" w:left="1080" w:header="720" w:footer="720" w:gutter="0"/>
          <w:pgNumType w:start="1"/>
          <w:cols w:space="720" w:num="1"/>
        </w:sectPr>
      </w:pPr>
      <w:bookmarkStart w:id="7" w:name="_Toc22827"/>
    </w:p>
    <w:p w14:paraId="0C34BC7E">
      <w:pPr>
        <w:spacing w:line="360" w:lineRule="auto"/>
        <w:rPr>
          <w:rFonts w:ascii="宋体" w:hAnsi="宋体" w:cs="宋体"/>
          <w:color w:val="auto"/>
          <w:highlight w:val="none"/>
        </w:rPr>
      </w:pPr>
    </w:p>
    <w:p w14:paraId="11E74729">
      <w:pPr>
        <w:spacing w:line="360" w:lineRule="auto"/>
        <w:rPr>
          <w:rFonts w:ascii="宋体" w:hAnsi="宋体" w:cs="宋体"/>
          <w:color w:val="auto"/>
          <w:highlight w:val="none"/>
        </w:rPr>
      </w:pPr>
    </w:p>
    <w:p w14:paraId="2DF35513">
      <w:pPr>
        <w:spacing w:line="360" w:lineRule="auto"/>
        <w:rPr>
          <w:rFonts w:ascii="宋体" w:hAnsi="宋体" w:cs="宋体"/>
          <w:color w:val="auto"/>
          <w:highlight w:val="none"/>
        </w:rPr>
      </w:pPr>
    </w:p>
    <w:p w14:paraId="4C1C95B9">
      <w:pPr>
        <w:spacing w:line="360" w:lineRule="auto"/>
        <w:rPr>
          <w:rFonts w:ascii="宋体" w:hAnsi="宋体" w:cs="宋体"/>
          <w:color w:val="auto"/>
          <w:highlight w:val="none"/>
        </w:rPr>
      </w:pPr>
    </w:p>
    <w:p w14:paraId="6CD676AC">
      <w:pPr>
        <w:spacing w:line="360" w:lineRule="auto"/>
        <w:rPr>
          <w:rFonts w:ascii="宋体" w:hAnsi="宋体" w:cs="宋体"/>
          <w:color w:val="auto"/>
          <w:highlight w:val="none"/>
        </w:rPr>
      </w:pPr>
    </w:p>
    <w:p w14:paraId="6E3A0748">
      <w:pPr>
        <w:spacing w:line="360" w:lineRule="auto"/>
        <w:rPr>
          <w:rFonts w:ascii="宋体" w:hAnsi="宋体" w:cs="宋体"/>
          <w:color w:val="auto"/>
          <w:highlight w:val="none"/>
        </w:rPr>
      </w:pPr>
    </w:p>
    <w:p w14:paraId="4F5A2088">
      <w:pPr>
        <w:spacing w:line="360" w:lineRule="auto"/>
        <w:rPr>
          <w:rFonts w:ascii="宋体" w:hAnsi="宋体" w:cs="宋体"/>
          <w:color w:val="auto"/>
          <w:highlight w:val="none"/>
        </w:rPr>
      </w:pPr>
    </w:p>
    <w:p w14:paraId="235F06AA">
      <w:pPr>
        <w:spacing w:line="360" w:lineRule="auto"/>
        <w:rPr>
          <w:rFonts w:ascii="宋体" w:hAnsi="宋体" w:cs="宋体"/>
          <w:color w:val="auto"/>
          <w:highlight w:val="none"/>
        </w:rPr>
      </w:pPr>
    </w:p>
    <w:p w14:paraId="6552DA4C">
      <w:pPr>
        <w:spacing w:line="360" w:lineRule="auto"/>
        <w:rPr>
          <w:rFonts w:ascii="宋体" w:hAnsi="宋体" w:cs="宋体"/>
          <w:color w:val="auto"/>
          <w:highlight w:val="none"/>
        </w:rPr>
      </w:pPr>
    </w:p>
    <w:p w14:paraId="0EDC0DC6">
      <w:pPr>
        <w:spacing w:line="360" w:lineRule="auto"/>
        <w:rPr>
          <w:rFonts w:ascii="宋体" w:hAnsi="宋体" w:cs="宋体"/>
          <w:color w:val="auto"/>
          <w:highlight w:val="none"/>
        </w:rPr>
      </w:pPr>
    </w:p>
    <w:p w14:paraId="54D31512">
      <w:pPr>
        <w:spacing w:line="360" w:lineRule="auto"/>
        <w:rPr>
          <w:rFonts w:ascii="宋体" w:hAnsi="宋体" w:cs="宋体"/>
          <w:color w:val="auto"/>
          <w:highlight w:val="none"/>
        </w:rPr>
      </w:pPr>
    </w:p>
    <w:p w14:paraId="2A628655">
      <w:pPr>
        <w:spacing w:line="360" w:lineRule="auto"/>
        <w:rPr>
          <w:rFonts w:ascii="宋体" w:hAnsi="宋体" w:cs="宋体"/>
          <w:color w:val="auto"/>
          <w:highlight w:val="none"/>
        </w:rPr>
      </w:pPr>
    </w:p>
    <w:p w14:paraId="42F2A1CE">
      <w:pPr>
        <w:spacing w:line="360" w:lineRule="auto"/>
        <w:rPr>
          <w:rFonts w:ascii="宋体" w:hAnsi="宋体" w:cs="宋体"/>
          <w:color w:val="auto"/>
          <w:highlight w:val="none"/>
        </w:rPr>
      </w:pPr>
    </w:p>
    <w:p w14:paraId="03D9928A">
      <w:pPr>
        <w:pStyle w:val="2"/>
        <w:spacing w:line="360" w:lineRule="auto"/>
        <w:jc w:val="center"/>
        <w:rPr>
          <w:rFonts w:hint="default" w:ascii="方正小标宋_GBK" w:hAnsi="方正小标宋_GBK" w:eastAsia="方正小标宋_GBK" w:cs="方正小标宋_GBK"/>
          <w:b w:val="0"/>
          <w:color w:val="auto"/>
          <w:sz w:val="52"/>
          <w:szCs w:val="52"/>
          <w:highlight w:val="none"/>
        </w:rPr>
      </w:pPr>
      <w:bookmarkStart w:id="8" w:name="_Toc18987"/>
      <w:r>
        <w:rPr>
          <w:rFonts w:ascii="方正小标宋_GBK" w:hAnsi="方正小标宋_GBK" w:eastAsia="方正小标宋_GBK" w:cs="方正小标宋_GBK"/>
          <w:color w:val="auto"/>
          <w:sz w:val="52"/>
          <w:szCs w:val="52"/>
          <w:highlight w:val="none"/>
        </w:rPr>
        <w:t xml:space="preserve">第一章  </w:t>
      </w:r>
      <w:bookmarkEnd w:id="7"/>
      <w:bookmarkEnd w:id="8"/>
      <w:r>
        <w:rPr>
          <w:rFonts w:ascii="方正小标宋_GBK" w:hAnsi="方正小标宋_GBK" w:eastAsia="方正小标宋_GBK" w:cs="方正小标宋_GBK"/>
          <w:color w:val="auto"/>
          <w:sz w:val="52"/>
          <w:szCs w:val="52"/>
          <w:highlight w:val="none"/>
        </w:rPr>
        <w:t>招选公告</w:t>
      </w:r>
    </w:p>
    <w:p w14:paraId="653113C3">
      <w:pPr>
        <w:pStyle w:val="3"/>
        <w:tabs>
          <w:tab w:val="left" w:pos="4931"/>
        </w:tabs>
        <w:kinsoku w:val="0"/>
        <w:overflowPunct w:val="0"/>
        <w:spacing w:before="110" w:line="360" w:lineRule="auto"/>
        <w:rPr>
          <w:rFonts w:hint="default" w:cs="宋体"/>
          <w:b w:val="0"/>
          <w:color w:val="auto"/>
          <w:highlight w:val="none"/>
        </w:rPr>
        <w:sectPr>
          <w:footerReference r:id="rId7" w:type="default"/>
          <w:pgSz w:w="11900" w:h="16840"/>
          <w:pgMar w:top="1440" w:right="1080" w:bottom="1440" w:left="1080" w:header="720" w:footer="720" w:gutter="0"/>
          <w:pgNumType w:start="1"/>
          <w:cols w:space="720" w:num="1"/>
        </w:sectPr>
      </w:pPr>
    </w:p>
    <w:p w14:paraId="29D1620A">
      <w:pPr>
        <w:autoSpaceDE/>
        <w:autoSpaceDN/>
        <w:adjustRightInd/>
        <w:snapToGrid w:val="0"/>
        <w:spacing w:line="520" w:lineRule="exact"/>
        <w:jc w:val="center"/>
        <w:rPr>
          <w:rFonts w:ascii="方正小标宋_GBK" w:hAnsi="方正小标宋_GBK" w:eastAsia="方正小标宋_GBK" w:cs="方正小标宋_GBK"/>
          <w:color w:val="auto"/>
          <w:sz w:val="44"/>
          <w:highlight w:val="none"/>
        </w:rPr>
      </w:pPr>
      <w:bookmarkStart w:id="9" w:name="_Toc5325"/>
      <w:r>
        <w:rPr>
          <w:rFonts w:hint="eastAsia" w:ascii="方正小标宋_GBK" w:hAnsi="方正小标宋_GBK" w:eastAsia="方正小标宋_GBK" w:cs="方正小标宋_GBK"/>
          <w:color w:val="auto"/>
          <w:sz w:val="44"/>
          <w:highlight w:val="none"/>
        </w:rPr>
        <w:t>四川宜叙高速公路开发有限责任公司</w:t>
      </w:r>
      <w:r>
        <w:rPr>
          <w:rFonts w:ascii="方正小标宋_GBK" w:hAnsi="方正小标宋_GBK" w:eastAsia="方正小标宋_GBK" w:cs="方正小标宋_GBK"/>
          <w:color w:val="auto"/>
          <w:sz w:val="44"/>
          <w:highlight w:val="none"/>
        </w:rPr>
        <w:t>（</w:t>
      </w:r>
      <w:r>
        <w:rPr>
          <w:rFonts w:hint="eastAsia" w:ascii="方正小标宋_GBK" w:hAnsi="方正小标宋_GBK" w:eastAsia="方正小标宋_GBK" w:cs="方正小标宋_GBK"/>
          <w:color w:val="auto"/>
          <w:sz w:val="44"/>
          <w:highlight w:val="none"/>
        </w:rPr>
        <w:t>长宁</w:t>
      </w:r>
      <w:r>
        <w:rPr>
          <w:rFonts w:hint="eastAsia" w:ascii="方正小标宋_GBK" w:hAnsi="方正小标宋_GBK" w:eastAsia="方正小标宋_GBK" w:cs="方正小标宋_GBK"/>
          <w:color w:val="auto"/>
          <w:sz w:val="44"/>
          <w:highlight w:val="none"/>
          <w:lang w:val="en-US" w:eastAsia="zh-CN"/>
        </w:rPr>
        <w:t>段</w:t>
      </w:r>
      <w:r>
        <w:rPr>
          <w:rFonts w:ascii="方正小标宋_GBK" w:hAnsi="方正小标宋_GBK" w:eastAsia="方正小标宋_GBK" w:cs="方正小标宋_GBK"/>
          <w:color w:val="auto"/>
          <w:sz w:val="44"/>
          <w:highlight w:val="none"/>
        </w:rPr>
        <w:t>）</w:t>
      </w:r>
      <w:r>
        <w:rPr>
          <w:rFonts w:hint="eastAsia" w:ascii="方正小标宋_GBK" w:hAnsi="方正小标宋_GBK" w:eastAsia="方正小标宋_GBK" w:cs="方正小标宋_GBK"/>
          <w:color w:val="auto"/>
          <w:sz w:val="44"/>
          <w:highlight w:val="none"/>
        </w:rPr>
        <w:t>土地</w:t>
      </w:r>
      <w:r>
        <w:rPr>
          <w:rFonts w:ascii="方正小标宋_GBK" w:hAnsi="方正小标宋_GBK" w:eastAsia="方正小标宋_GBK" w:cs="方正小标宋_GBK"/>
          <w:color w:val="auto"/>
          <w:sz w:val="44"/>
          <w:highlight w:val="none"/>
        </w:rPr>
        <w:t>测绘和地籍调查</w:t>
      </w:r>
      <w:r>
        <w:rPr>
          <w:rFonts w:hint="eastAsia" w:ascii="方正小标宋_GBK" w:hAnsi="方正小标宋_GBK" w:eastAsia="方正小标宋_GBK" w:cs="方正小标宋_GBK"/>
          <w:color w:val="auto"/>
          <w:sz w:val="44"/>
          <w:highlight w:val="none"/>
        </w:rPr>
        <w:t>项目公开招选公告</w:t>
      </w:r>
    </w:p>
    <w:p w14:paraId="45CB132B">
      <w:pPr>
        <w:pStyle w:val="20"/>
        <w:spacing w:line="520" w:lineRule="exact"/>
        <w:ind w:left="0" w:firstLine="640"/>
        <w:jc w:val="both"/>
        <w:rPr>
          <w:color w:val="auto"/>
          <w:highlight w:val="none"/>
        </w:rPr>
      </w:pPr>
    </w:p>
    <w:p w14:paraId="42D1407B">
      <w:pPr>
        <w:pStyle w:val="12"/>
        <w:spacing w:before="0" w:line="520" w:lineRule="exact"/>
        <w:ind w:left="0" w:firstLine="640" w:firstLineChars="200"/>
        <w:jc w:val="both"/>
        <w:rPr>
          <w:rFonts w:hint="default" w:ascii="黑体" w:hAnsi="黑体" w:eastAsia="黑体" w:cs="黑体"/>
          <w:color w:val="auto"/>
          <w:sz w:val="32"/>
          <w:szCs w:val="32"/>
          <w:highlight w:val="none"/>
        </w:rPr>
      </w:pPr>
      <w:r>
        <w:rPr>
          <w:rFonts w:ascii="黑体" w:hAnsi="黑体" w:eastAsia="黑体" w:cs="黑体"/>
          <w:color w:val="auto"/>
          <w:sz w:val="32"/>
          <w:szCs w:val="32"/>
          <w:highlight w:val="none"/>
        </w:rPr>
        <w:t>1.</w:t>
      </w:r>
      <w:bookmarkEnd w:id="9"/>
      <w:r>
        <w:rPr>
          <w:rFonts w:ascii="黑体" w:hAnsi="黑体" w:eastAsia="黑体" w:cs="黑体"/>
          <w:color w:val="auto"/>
          <w:sz w:val="32"/>
          <w:szCs w:val="32"/>
          <w:highlight w:val="none"/>
        </w:rPr>
        <w:t>招选条件</w:t>
      </w:r>
    </w:p>
    <w:p w14:paraId="59F0324D">
      <w:pPr>
        <w:pStyle w:val="12"/>
        <w:kinsoku w:val="0"/>
        <w:overflowPunct w:val="0"/>
        <w:spacing w:before="0" w:line="520" w:lineRule="exact"/>
        <w:ind w:left="0" w:firstLine="640" w:firstLineChars="200"/>
        <w:jc w:val="both"/>
        <w:rPr>
          <w:rFonts w:hint="default"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本招选项目四川宜叙高速公路开发有限责任公司（长宁</w:t>
      </w:r>
      <w:r>
        <w:rPr>
          <w:rFonts w:hint="eastAsia" w:ascii="仿宋_GB2312" w:hAnsi="仿宋_GB2312" w:eastAsia="仿宋_GB2312" w:cs="仿宋_GB2312"/>
          <w:color w:val="auto"/>
          <w:sz w:val="32"/>
          <w:szCs w:val="32"/>
          <w:highlight w:val="none"/>
          <w:lang w:val="en-US" w:eastAsia="zh-CN"/>
        </w:rPr>
        <w:t>段</w:t>
      </w:r>
      <w:r>
        <w:rPr>
          <w:rFonts w:ascii="仿宋_GB2312" w:hAnsi="仿宋_GB2312" w:eastAsia="仿宋_GB2312" w:cs="仿宋_GB2312"/>
          <w:color w:val="auto"/>
          <w:sz w:val="32"/>
          <w:szCs w:val="32"/>
          <w:highlight w:val="none"/>
        </w:rPr>
        <w:t>）土地测绘和地籍调查项目已由四川宜叙高速公路开发有限责任公司批准实施，招选人为四川宜叙高速公路开发有限责任公司。项目已具备招选条件，现对该项目进行公开招选。</w:t>
      </w:r>
    </w:p>
    <w:p w14:paraId="414BD84B">
      <w:pPr>
        <w:pStyle w:val="12"/>
        <w:spacing w:before="0" w:line="520" w:lineRule="exact"/>
        <w:ind w:left="0" w:firstLine="640" w:firstLineChars="200"/>
        <w:jc w:val="both"/>
        <w:rPr>
          <w:rFonts w:hint="default" w:ascii="黑体" w:hAnsi="黑体" w:eastAsia="黑体" w:cs="黑体"/>
          <w:color w:val="auto"/>
          <w:sz w:val="32"/>
          <w:szCs w:val="32"/>
          <w:highlight w:val="none"/>
        </w:rPr>
      </w:pPr>
      <w:bookmarkStart w:id="10" w:name="_Toc21087"/>
      <w:r>
        <w:rPr>
          <w:rFonts w:ascii="黑体" w:hAnsi="黑体" w:eastAsia="黑体" w:cs="黑体"/>
          <w:color w:val="auto"/>
          <w:sz w:val="32"/>
          <w:szCs w:val="32"/>
          <w:highlight w:val="none"/>
        </w:rPr>
        <w:t>2.项目概况与比选范围</w:t>
      </w:r>
      <w:bookmarkEnd w:id="10"/>
    </w:p>
    <w:p w14:paraId="24C2F79C">
      <w:pPr>
        <w:pStyle w:val="12"/>
        <w:kinsoku w:val="0"/>
        <w:overflowPunct w:val="0"/>
        <w:spacing w:before="0" w:line="520" w:lineRule="exact"/>
        <w:ind w:left="0" w:firstLine="643" w:firstLineChars="200"/>
        <w:jc w:val="both"/>
        <w:rPr>
          <w:rFonts w:hint="default" w:asciiTheme="minorEastAsia" w:hAnsiTheme="minorEastAsia" w:eastAsiaTheme="minorEastAsia" w:cstheme="minorEastAsia"/>
          <w:b/>
          <w:bCs/>
          <w:color w:val="auto"/>
          <w:sz w:val="32"/>
          <w:szCs w:val="32"/>
          <w:highlight w:val="none"/>
        </w:rPr>
      </w:pPr>
      <w:r>
        <w:rPr>
          <w:rFonts w:asciiTheme="minorEastAsia" w:hAnsiTheme="minorEastAsia" w:eastAsiaTheme="minorEastAsia" w:cstheme="minorEastAsia"/>
          <w:b/>
          <w:bCs/>
          <w:color w:val="auto"/>
          <w:sz w:val="32"/>
          <w:szCs w:val="32"/>
          <w:highlight w:val="none"/>
        </w:rPr>
        <w:t>2.1 项目概况</w:t>
      </w:r>
    </w:p>
    <w:p w14:paraId="7067FA12">
      <w:pPr>
        <w:pStyle w:val="12"/>
        <w:kinsoku w:val="0"/>
        <w:overflowPunct w:val="0"/>
        <w:spacing w:before="0" w:line="520" w:lineRule="exact"/>
        <w:ind w:left="0" w:firstLine="640" w:firstLineChars="200"/>
        <w:jc w:val="both"/>
        <w:rPr>
          <w:rFonts w:hint="default"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为保障四川宜叙高速公路开发有限责任公司（长宁</w:t>
      </w:r>
      <w:r>
        <w:rPr>
          <w:rFonts w:hint="eastAsia" w:ascii="仿宋_GB2312" w:hAnsi="仿宋_GB2312" w:eastAsia="仿宋_GB2312" w:cs="仿宋_GB2312"/>
          <w:color w:val="auto"/>
          <w:sz w:val="32"/>
          <w:szCs w:val="32"/>
          <w:highlight w:val="none"/>
          <w:lang w:val="en-US" w:eastAsia="zh-CN"/>
        </w:rPr>
        <w:t>段</w:t>
      </w:r>
      <w:r>
        <w:rPr>
          <w:rFonts w:ascii="仿宋_GB2312" w:hAnsi="仿宋_GB2312" w:eastAsia="仿宋_GB2312" w:cs="仿宋_GB2312"/>
          <w:color w:val="auto"/>
          <w:sz w:val="32"/>
          <w:szCs w:val="32"/>
          <w:highlight w:val="none"/>
        </w:rPr>
        <w:t>）土地测绘和地籍调查工作圆满完成，拟对本项目进行公开招选。</w:t>
      </w:r>
    </w:p>
    <w:p w14:paraId="5BF8C53B">
      <w:pPr>
        <w:pStyle w:val="12"/>
        <w:kinsoku w:val="0"/>
        <w:overflowPunct w:val="0"/>
        <w:spacing w:before="0" w:line="520" w:lineRule="exact"/>
        <w:ind w:left="0" w:firstLine="643" w:firstLineChars="200"/>
        <w:jc w:val="both"/>
        <w:rPr>
          <w:rFonts w:hint="default" w:asciiTheme="minorEastAsia" w:hAnsiTheme="minorEastAsia" w:eastAsiaTheme="minorEastAsia" w:cstheme="minorEastAsia"/>
          <w:b/>
          <w:bCs/>
          <w:color w:val="auto"/>
          <w:sz w:val="32"/>
          <w:szCs w:val="32"/>
          <w:highlight w:val="none"/>
        </w:rPr>
      </w:pPr>
      <w:r>
        <w:rPr>
          <w:rFonts w:asciiTheme="minorEastAsia" w:hAnsiTheme="minorEastAsia" w:eastAsiaTheme="minorEastAsia" w:cstheme="minorEastAsia"/>
          <w:b/>
          <w:bCs/>
          <w:color w:val="auto"/>
          <w:sz w:val="32"/>
          <w:szCs w:val="32"/>
          <w:highlight w:val="none"/>
        </w:rPr>
        <w:t>2.2 招选内容</w:t>
      </w:r>
    </w:p>
    <w:p w14:paraId="286E2B02">
      <w:pPr>
        <w:spacing w:line="560" w:lineRule="exact"/>
        <w:ind w:firstLine="640" w:firstLineChars="200"/>
        <w:jc w:val="both"/>
        <w:rPr>
          <w:rFonts w:ascii="仿宋_GB2312" w:hAnsi="仿宋_GB2312" w:eastAsia="仿宋_GB2312" w:cs="仿宋_GB2312"/>
          <w:color w:val="auto"/>
          <w:sz w:val="32"/>
          <w:szCs w:val="32"/>
          <w:highlight w:val="none"/>
        </w:rPr>
      </w:pPr>
      <w:bookmarkStart w:id="11" w:name="_Toc18761"/>
      <w:r>
        <w:rPr>
          <w:rFonts w:ascii="仿宋_GB2312" w:hAnsi="仿宋_GB2312" w:eastAsia="仿宋_GB2312" w:cs="仿宋_GB2312"/>
          <w:color w:val="auto"/>
          <w:sz w:val="32"/>
          <w:szCs w:val="32"/>
          <w:highlight w:val="none"/>
        </w:rPr>
        <w:t>招选内容:宜宾至叙永高速公路长宁县境内约4825.58亩建设用地开展土地测绘和地籍调查工作</w:t>
      </w:r>
      <w:r>
        <w:rPr>
          <w:rFonts w:hint="eastAsia" w:ascii="仿宋_GB2312" w:hAnsi="仿宋_GB2312" w:eastAsia="仿宋_GB2312" w:cs="仿宋_GB2312"/>
          <w:color w:val="auto"/>
          <w:sz w:val="32"/>
          <w:szCs w:val="32"/>
          <w:highlight w:val="none"/>
        </w:rPr>
        <w:t>，包括但不仅限于：</w:t>
      </w:r>
    </w:p>
    <w:p w14:paraId="626DF450">
      <w:pPr>
        <w:spacing w:line="5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2.2.1负责收集并套合本项目和相邻项目的历史征地图件及相邻国有土地、林地、集体土地、农村宅基地等确权图件；</w:t>
      </w:r>
    </w:p>
    <w:p w14:paraId="7A48F6EB">
      <w:pPr>
        <w:spacing w:line="5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2.2.2负责不动产测绘，出具测绘成果；</w:t>
      </w:r>
    </w:p>
    <w:p w14:paraId="5B47D2FA">
      <w:pPr>
        <w:spacing w:line="5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2.2.3负责不动产录宗，按不动产中心提出的问题进行修补测；</w:t>
      </w:r>
    </w:p>
    <w:p w14:paraId="2CD32721">
      <w:pPr>
        <w:spacing w:line="5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2.2.4负责地籍调查，出具地籍调查成果；</w:t>
      </w:r>
    </w:p>
    <w:p w14:paraId="53920E42">
      <w:pPr>
        <w:spacing w:line="5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2.2.5负责邻界单位（大略统计涉及</w:t>
      </w:r>
      <w:r>
        <w:rPr>
          <w:rFonts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rPr>
        <w:t>个镇</w:t>
      </w:r>
      <w:r>
        <w:rPr>
          <w:rFonts w:ascii="仿宋_GB2312" w:hAnsi="仿宋_GB2312" w:eastAsia="仿宋_GB2312" w:cs="仿宋_GB2312"/>
          <w:color w:val="auto"/>
          <w:sz w:val="32"/>
          <w:szCs w:val="32"/>
          <w:highlight w:val="none"/>
        </w:rPr>
        <w:t>22</w:t>
      </w:r>
      <w:r>
        <w:rPr>
          <w:rFonts w:hint="eastAsia" w:ascii="仿宋_GB2312" w:hAnsi="仿宋_GB2312" w:eastAsia="仿宋_GB2312" w:cs="仿宋_GB2312"/>
          <w:color w:val="auto"/>
          <w:sz w:val="32"/>
          <w:szCs w:val="32"/>
          <w:highlight w:val="none"/>
        </w:rPr>
        <w:t>个村</w:t>
      </w:r>
      <w:r>
        <w:rPr>
          <w:rFonts w:ascii="仿宋_GB2312" w:hAnsi="仿宋_GB2312" w:eastAsia="仿宋_GB2312" w:cs="仿宋_GB2312"/>
          <w:color w:val="auto"/>
          <w:sz w:val="32"/>
          <w:szCs w:val="32"/>
          <w:highlight w:val="none"/>
        </w:rPr>
        <w:t>81</w:t>
      </w:r>
      <w:r>
        <w:rPr>
          <w:rFonts w:hint="eastAsia" w:ascii="仿宋_GB2312" w:hAnsi="仿宋_GB2312" w:eastAsia="仿宋_GB2312" w:cs="仿宋_GB2312"/>
          <w:color w:val="auto"/>
          <w:sz w:val="32"/>
          <w:szCs w:val="32"/>
          <w:highlight w:val="none"/>
        </w:rPr>
        <w:t>个权属组）对地籍调查成果签字盖章。</w:t>
      </w:r>
    </w:p>
    <w:p w14:paraId="50668C69">
      <w:pPr>
        <w:pStyle w:val="12"/>
        <w:spacing w:before="0" w:line="520" w:lineRule="exact"/>
        <w:ind w:left="0" w:firstLine="640" w:firstLineChars="200"/>
        <w:jc w:val="both"/>
        <w:rPr>
          <w:rFonts w:hint="default" w:ascii="黑体" w:hAnsi="黑体" w:eastAsia="黑体" w:cs="黑体"/>
          <w:color w:val="auto"/>
          <w:sz w:val="32"/>
          <w:szCs w:val="32"/>
          <w:highlight w:val="none"/>
        </w:rPr>
      </w:pPr>
      <w:r>
        <w:rPr>
          <w:rFonts w:ascii="黑体" w:hAnsi="黑体" w:eastAsia="黑体" w:cs="黑体"/>
          <w:color w:val="auto"/>
          <w:sz w:val="32"/>
          <w:szCs w:val="32"/>
          <w:highlight w:val="none"/>
        </w:rPr>
        <w:t>3.比选人资格要求</w:t>
      </w:r>
      <w:bookmarkEnd w:id="11"/>
    </w:p>
    <w:p w14:paraId="4112F869">
      <w:pPr>
        <w:pStyle w:val="12"/>
        <w:kinsoku w:val="0"/>
        <w:overflowPunct w:val="0"/>
        <w:spacing w:before="0" w:line="520" w:lineRule="exact"/>
        <w:ind w:left="0" w:firstLine="643" w:firstLineChars="200"/>
        <w:jc w:val="both"/>
        <w:rPr>
          <w:rFonts w:hint="default" w:asciiTheme="minorEastAsia" w:hAnsiTheme="minorEastAsia" w:eastAsiaTheme="minorEastAsia" w:cstheme="minorEastAsia"/>
          <w:b/>
          <w:bCs/>
          <w:color w:val="auto"/>
          <w:highlight w:val="none"/>
        </w:rPr>
      </w:pPr>
      <w:r>
        <w:rPr>
          <w:rFonts w:asciiTheme="minorEastAsia" w:hAnsiTheme="minorEastAsia" w:eastAsiaTheme="minorEastAsia" w:cstheme="minorEastAsia"/>
          <w:b/>
          <w:bCs/>
          <w:color w:val="auto"/>
          <w:sz w:val="32"/>
          <w:szCs w:val="32"/>
          <w:highlight w:val="none"/>
        </w:rPr>
        <w:t>3.1 资质要求</w:t>
      </w:r>
      <w:r>
        <w:rPr>
          <w:rFonts w:asciiTheme="minorEastAsia" w:hAnsiTheme="minorEastAsia" w:eastAsiaTheme="minorEastAsia" w:cstheme="minorEastAsia"/>
          <w:b/>
          <w:bCs/>
          <w:color w:val="auto"/>
          <w:highlight w:val="none"/>
        </w:rPr>
        <w:t xml:space="preserve"> </w:t>
      </w:r>
    </w:p>
    <w:p w14:paraId="17EA86F1">
      <w:pPr>
        <w:autoSpaceDE/>
        <w:autoSpaceDN/>
        <w:adjustRightInd/>
        <w:spacing w:line="520"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（1）投标人应具有独立法人资格，持有有效的营业执照、基本账户开户许可证或基本存款账户信息表</w:t>
      </w:r>
      <w:r>
        <w:rPr>
          <w:rFonts w:hint="eastAsia" w:ascii="仿宋_GB2312" w:hAnsi="仿宋_GB2312" w:eastAsia="仿宋_GB2312" w:cs="仿宋_GB2312"/>
          <w:color w:val="auto"/>
          <w:sz w:val="32"/>
          <w:szCs w:val="32"/>
          <w:highlight w:val="none"/>
          <w:lang w:eastAsia="zh-CN"/>
        </w:rPr>
        <w:t>。</w:t>
      </w:r>
    </w:p>
    <w:p w14:paraId="607EBAA0">
      <w:pPr>
        <w:autoSpaceDE/>
        <w:autoSpaceDN/>
        <w:adjustRightInd/>
        <w:spacing w:line="52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（2）同时具备以下资质：</w:t>
      </w:r>
    </w:p>
    <w:p w14:paraId="1893CE27">
      <w:pPr>
        <w:autoSpaceDE/>
        <w:autoSpaceDN/>
        <w:adjustRightInd/>
        <w:spacing w:line="52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①</w:t>
      </w:r>
      <w:r>
        <w:rPr>
          <w:rFonts w:hint="eastAsia" w:eastAsia="仿宋_GB2312"/>
          <w:color w:val="auto"/>
          <w:sz w:val="32"/>
          <w:szCs w:val="32"/>
          <w:highlight w:val="none"/>
        </w:rPr>
        <w:t>相关测绘资质证书</w:t>
      </w:r>
    </w:p>
    <w:p w14:paraId="24347C2E">
      <w:pPr>
        <w:pStyle w:val="12"/>
        <w:kinsoku w:val="0"/>
        <w:overflowPunct w:val="0"/>
        <w:spacing w:before="0" w:line="520" w:lineRule="exact"/>
        <w:ind w:left="0" w:firstLine="643" w:firstLineChars="200"/>
        <w:jc w:val="both"/>
        <w:rPr>
          <w:rFonts w:hint="default" w:asciiTheme="minorEastAsia" w:hAnsiTheme="minorEastAsia" w:eastAsiaTheme="minorEastAsia" w:cstheme="minorEastAsia"/>
          <w:b/>
          <w:bCs/>
          <w:color w:val="auto"/>
          <w:sz w:val="32"/>
          <w:szCs w:val="32"/>
          <w:highlight w:val="none"/>
        </w:rPr>
      </w:pPr>
      <w:r>
        <w:rPr>
          <w:rFonts w:asciiTheme="minorEastAsia" w:hAnsiTheme="minorEastAsia" w:eastAsiaTheme="minorEastAsia" w:cstheme="minorEastAsia"/>
          <w:b/>
          <w:bCs/>
          <w:color w:val="auto"/>
          <w:sz w:val="32"/>
          <w:szCs w:val="32"/>
          <w:highlight w:val="none"/>
        </w:rPr>
        <w:t>3.2 业绩要求</w:t>
      </w:r>
    </w:p>
    <w:p w14:paraId="496F4AF4">
      <w:pPr>
        <w:autoSpaceDE/>
        <w:autoSpaceDN/>
        <w:adjustRightInd/>
        <w:spacing w:line="52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近</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年（20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年1月1日起至投标截止日，以合同签订时间为准）至少承担过1个土地</w:t>
      </w:r>
      <w:r>
        <w:rPr>
          <w:rFonts w:ascii="仿宋_GB2312" w:hAnsi="仿宋_GB2312" w:eastAsia="仿宋_GB2312" w:cs="仿宋_GB2312"/>
          <w:color w:val="auto"/>
          <w:sz w:val="32"/>
          <w:szCs w:val="32"/>
          <w:highlight w:val="none"/>
        </w:rPr>
        <w:t>测绘</w:t>
      </w:r>
      <w:r>
        <w:rPr>
          <w:rFonts w:hint="eastAsia" w:ascii="仿宋_GB2312" w:hAnsi="仿宋_GB2312" w:eastAsia="仿宋_GB2312" w:cs="仿宋_GB2312"/>
          <w:color w:val="auto"/>
          <w:sz w:val="32"/>
          <w:szCs w:val="32"/>
          <w:highlight w:val="none"/>
        </w:rPr>
        <w:t>或</w:t>
      </w:r>
      <w:r>
        <w:rPr>
          <w:rFonts w:ascii="仿宋_GB2312" w:hAnsi="仿宋_GB2312" w:eastAsia="仿宋_GB2312" w:cs="仿宋_GB2312"/>
          <w:color w:val="auto"/>
          <w:sz w:val="32"/>
          <w:szCs w:val="32"/>
          <w:highlight w:val="none"/>
        </w:rPr>
        <w:t>地籍调查</w:t>
      </w:r>
      <w:r>
        <w:rPr>
          <w:rFonts w:hint="eastAsia" w:ascii="仿宋_GB2312" w:hAnsi="仿宋_GB2312" w:eastAsia="仿宋_GB2312" w:cs="仿宋_GB2312"/>
          <w:color w:val="auto"/>
          <w:sz w:val="32"/>
          <w:szCs w:val="32"/>
          <w:highlight w:val="none"/>
        </w:rPr>
        <w:t>项目（工作内容至少包含本次招标的内容），且至少一个合同金额不低于20万元。</w:t>
      </w:r>
    </w:p>
    <w:p w14:paraId="7C075250">
      <w:pPr>
        <w:autoSpaceDE/>
        <w:autoSpaceDN/>
        <w:adjustRightInd/>
        <w:spacing w:line="52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注：同一项目多年度合同只计算一个业绩。</w:t>
      </w:r>
    </w:p>
    <w:p w14:paraId="609D56AF">
      <w:pPr>
        <w:pStyle w:val="12"/>
        <w:kinsoku w:val="0"/>
        <w:overflowPunct w:val="0"/>
        <w:spacing w:before="0" w:line="520" w:lineRule="exact"/>
        <w:ind w:left="0" w:firstLine="643" w:firstLineChars="200"/>
        <w:jc w:val="both"/>
        <w:rPr>
          <w:rFonts w:hint="default" w:asciiTheme="minorEastAsia" w:hAnsiTheme="minorEastAsia" w:eastAsiaTheme="minorEastAsia" w:cstheme="minorEastAsia"/>
          <w:b/>
          <w:bCs/>
          <w:color w:val="auto"/>
          <w:sz w:val="32"/>
          <w:szCs w:val="32"/>
          <w:highlight w:val="none"/>
        </w:rPr>
      </w:pPr>
      <w:r>
        <w:rPr>
          <w:rFonts w:asciiTheme="minorEastAsia" w:hAnsiTheme="minorEastAsia" w:eastAsiaTheme="minorEastAsia" w:cstheme="minorEastAsia"/>
          <w:b/>
          <w:bCs/>
          <w:color w:val="auto"/>
          <w:sz w:val="32"/>
          <w:szCs w:val="32"/>
          <w:highlight w:val="none"/>
        </w:rPr>
        <w:t>3.3 信誉要求</w:t>
      </w:r>
    </w:p>
    <w:p w14:paraId="6DB14E2E">
      <w:pPr>
        <w:pStyle w:val="12"/>
        <w:kinsoku w:val="0"/>
        <w:overflowPunct w:val="0"/>
        <w:spacing w:before="0" w:line="520" w:lineRule="exact"/>
        <w:ind w:left="0" w:firstLine="640" w:firstLineChars="200"/>
        <w:jc w:val="both"/>
        <w:rPr>
          <w:rFonts w:hint="default"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3.3.1 招选截止日前在国家企业信用信息公示系统（http//www.gsxt.gov.cn）中被列入严重违法失信企业名单，不得参加比选。。</w:t>
      </w:r>
    </w:p>
    <w:p w14:paraId="5B0CFDFF">
      <w:pPr>
        <w:pStyle w:val="12"/>
        <w:kinsoku w:val="0"/>
        <w:overflowPunct w:val="0"/>
        <w:spacing w:before="0" w:line="520" w:lineRule="exact"/>
        <w:ind w:left="0" w:firstLine="640" w:firstLineChars="200"/>
        <w:jc w:val="both"/>
        <w:rPr>
          <w:rFonts w:hint="default"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3.3.2 招选截止日前在对通过“信用中国”网站（http://www.creditchina.gov.cn/）查询“失信被执行人”链接“中国执行信息公开网（</w:t>
      </w:r>
      <w:r>
        <w:rPr>
          <w:color w:val="auto"/>
          <w:highlight w:val="none"/>
        </w:rPr>
        <w:fldChar w:fldCharType="begin"/>
      </w:r>
      <w:r>
        <w:rPr>
          <w:color w:val="auto"/>
          <w:highlight w:val="none"/>
        </w:rPr>
        <w:instrText xml:space="preserve"> HYPERLINK "http://zxgk.court.gov.cn/shixin/" </w:instrText>
      </w:r>
      <w:r>
        <w:rPr>
          <w:color w:val="auto"/>
          <w:highlight w:val="none"/>
        </w:rPr>
        <w:fldChar w:fldCharType="separate"/>
      </w:r>
      <w:r>
        <w:rPr>
          <w:rFonts w:ascii="仿宋_GB2312" w:hAnsi="仿宋_GB2312" w:eastAsia="仿宋_GB2312" w:cs="仿宋_GB2312"/>
          <w:color w:val="auto"/>
          <w:sz w:val="32"/>
          <w:szCs w:val="32"/>
          <w:highlight w:val="none"/>
        </w:rPr>
        <w:t>http://zxgk.court.gov.cn/shixin/</w:t>
      </w:r>
      <w:r>
        <w:rPr>
          <w:rFonts w:ascii="仿宋_GB2312" w:hAnsi="仿宋_GB2312" w:eastAsia="仿宋_GB2312" w:cs="仿宋_GB2312"/>
          <w:color w:val="auto"/>
          <w:sz w:val="32"/>
          <w:szCs w:val="32"/>
          <w:highlight w:val="none"/>
        </w:rPr>
        <w:fldChar w:fldCharType="end"/>
      </w:r>
      <w:r>
        <w:rPr>
          <w:rFonts w:ascii="仿宋_GB2312" w:hAnsi="仿宋_GB2312" w:eastAsia="仿宋_GB2312" w:cs="仿宋_GB2312"/>
          <w:color w:val="auto"/>
          <w:sz w:val="32"/>
          <w:szCs w:val="32"/>
          <w:highlight w:val="none"/>
        </w:rPr>
        <w:t>）”中列为失信被执行人的比选人，不得参加招选。</w:t>
      </w:r>
    </w:p>
    <w:p w14:paraId="6B8F68E4">
      <w:pPr>
        <w:pStyle w:val="12"/>
        <w:kinsoku w:val="0"/>
        <w:overflowPunct w:val="0"/>
        <w:spacing w:before="0" w:line="520" w:lineRule="exact"/>
        <w:ind w:left="0" w:firstLine="640" w:firstLineChars="200"/>
        <w:jc w:val="both"/>
        <w:rPr>
          <w:rFonts w:hint="eastAsia" w:ascii="仿宋_GB2312" w:hAnsi="仿宋_GB2312" w:eastAsia="仿宋_GB2312" w:cs="仿宋_GB2312"/>
          <w:color w:val="auto"/>
          <w:sz w:val="32"/>
          <w:szCs w:val="32"/>
          <w:highlight w:val="none"/>
          <w:lang w:eastAsia="zh-CN"/>
        </w:rPr>
      </w:pPr>
      <w:r>
        <w:rPr>
          <w:rFonts w:ascii="仿宋_GB2312" w:hAnsi="仿宋_GB2312" w:eastAsia="仿宋_GB2312" w:cs="仿宋_GB2312"/>
          <w:color w:val="auto"/>
          <w:sz w:val="32"/>
          <w:szCs w:val="32"/>
          <w:highlight w:val="none"/>
        </w:rPr>
        <w:t>3.3.3 在2021年1月1日至本项目招选截止日期间，比选人（单位）、法定代表人、拟任项目负责人被人民法院生效判决为行贿犯罪的，不得参加招选</w:t>
      </w:r>
      <w:r>
        <w:rPr>
          <w:rFonts w:hint="eastAsia" w:ascii="仿宋_GB2312" w:hAnsi="仿宋_GB2312" w:eastAsia="仿宋_GB2312" w:cs="仿宋_GB2312"/>
          <w:color w:val="auto"/>
          <w:sz w:val="32"/>
          <w:szCs w:val="32"/>
          <w:highlight w:val="none"/>
          <w:lang w:eastAsia="zh-CN"/>
        </w:rPr>
        <w:t>。</w:t>
      </w:r>
    </w:p>
    <w:p w14:paraId="7C39A1B2">
      <w:pPr>
        <w:pStyle w:val="12"/>
        <w:kinsoku w:val="0"/>
        <w:overflowPunct w:val="0"/>
        <w:spacing w:before="0" w:line="520" w:lineRule="exact"/>
        <w:ind w:left="0" w:firstLine="643" w:firstLineChars="200"/>
        <w:jc w:val="both"/>
        <w:rPr>
          <w:rFonts w:hint="default" w:asciiTheme="minorEastAsia" w:hAnsiTheme="minorEastAsia" w:eastAsiaTheme="minorEastAsia" w:cstheme="minorEastAsia"/>
          <w:b/>
          <w:bCs/>
          <w:color w:val="auto"/>
          <w:sz w:val="32"/>
          <w:szCs w:val="32"/>
          <w:highlight w:val="none"/>
        </w:rPr>
      </w:pPr>
      <w:r>
        <w:rPr>
          <w:rFonts w:asciiTheme="minorEastAsia" w:hAnsiTheme="minorEastAsia" w:eastAsiaTheme="minorEastAsia" w:cstheme="minorEastAsia"/>
          <w:b/>
          <w:bCs/>
          <w:color w:val="auto"/>
          <w:sz w:val="32"/>
          <w:szCs w:val="32"/>
          <w:highlight w:val="none"/>
        </w:rPr>
        <w:t>3.4 其他要求</w:t>
      </w:r>
    </w:p>
    <w:p w14:paraId="61381EC9">
      <w:pPr>
        <w:pStyle w:val="12"/>
        <w:kinsoku w:val="0"/>
        <w:overflowPunct w:val="0"/>
        <w:spacing w:before="0" w:line="520" w:lineRule="exact"/>
        <w:ind w:left="0" w:firstLine="640" w:firstLineChars="200"/>
        <w:jc w:val="both"/>
        <w:rPr>
          <w:rFonts w:hint="default"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3.4.</w:t>
      </w:r>
      <w:r>
        <w:rPr>
          <w:rFonts w:hint="default" w:ascii="仿宋_GB2312" w:hAnsi="仿宋_GB2312" w:eastAsia="仿宋_GB2312" w:cs="仿宋_GB2312"/>
          <w:color w:val="auto"/>
          <w:sz w:val="32"/>
          <w:szCs w:val="32"/>
          <w:highlight w:val="none"/>
        </w:rPr>
        <w:t>1</w:t>
      </w:r>
      <w:r>
        <w:rPr>
          <w:rFonts w:ascii="仿宋_GB2312" w:hAnsi="仿宋_GB2312" w:eastAsia="仿宋_GB2312" w:cs="仿宋_GB2312"/>
          <w:color w:val="auto"/>
          <w:sz w:val="32"/>
          <w:szCs w:val="32"/>
          <w:highlight w:val="none"/>
        </w:rPr>
        <w:t xml:space="preserve"> 单位负责人为同一人或者存在控股、管理关系的不同单位，不得同时参加本次招选。否则，其比选文件将被否决。（注：单位负责人，是指单位法定代表人或者法律、行政法规规定代表单位行使职权的主要负责人。控股关系，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w:t>
      </w:r>
    </w:p>
    <w:p w14:paraId="7717E3BE">
      <w:pPr>
        <w:pStyle w:val="12"/>
        <w:kinsoku w:val="0"/>
        <w:overflowPunct w:val="0"/>
        <w:spacing w:before="0" w:line="520" w:lineRule="exact"/>
        <w:ind w:left="0" w:firstLine="640" w:firstLineChars="200"/>
        <w:jc w:val="both"/>
        <w:rPr>
          <w:rFonts w:hint="default"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3.4.</w:t>
      </w:r>
      <w:r>
        <w:rPr>
          <w:rFonts w:hint="default" w:ascii="仿宋_GB2312" w:hAnsi="仿宋_GB2312" w:eastAsia="仿宋_GB2312" w:cs="仿宋_GB2312"/>
          <w:color w:val="auto"/>
          <w:sz w:val="32"/>
          <w:szCs w:val="32"/>
          <w:highlight w:val="none"/>
        </w:rPr>
        <w:t>2</w:t>
      </w:r>
      <w:r>
        <w:rPr>
          <w:rFonts w:ascii="仿宋_GB2312" w:hAnsi="仿宋_GB2312" w:eastAsia="仿宋_GB2312" w:cs="仿宋_GB2312"/>
          <w:color w:val="auto"/>
          <w:sz w:val="32"/>
          <w:szCs w:val="32"/>
          <w:highlight w:val="none"/>
        </w:rPr>
        <w:t xml:space="preserve"> 本项目不接受联合体比选，不允许转包或分包。</w:t>
      </w:r>
    </w:p>
    <w:p w14:paraId="3A67669B">
      <w:pPr>
        <w:pStyle w:val="12"/>
        <w:spacing w:before="0" w:line="520" w:lineRule="exact"/>
        <w:ind w:left="0" w:firstLine="640" w:firstLineChars="200"/>
        <w:jc w:val="both"/>
        <w:rPr>
          <w:rFonts w:hint="default" w:ascii="黑体" w:hAnsi="黑体" w:eastAsia="黑体" w:cs="黑体"/>
          <w:color w:val="auto"/>
          <w:sz w:val="32"/>
          <w:szCs w:val="32"/>
          <w:highlight w:val="none"/>
        </w:rPr>
      </w:pPr>
      <w:bookmarkStart w:id="12" w:name="_Toc12569"/>
      <w:r>
        <w:rPr>
          <w:rFonts w:ascii="黑体" w:hAnsi="黑体" w:eastAsia="黑体" w:cs="黑体"/>
          <w:color w:val="auto"/>
          <w:sz w:val="32"/>
          <w:szCs w:val="32"/>
          <w:highlight w:val="none"/>
        </w:rPr>
        <w:t>4.招选方法</w:t>
      </w:r>
      <w:bookmarkEnd w:id="12"/>
    </w:p>
    <w:p w14:paraId="5C1AF6DF">
      <w:pPr>
        <w:pStyle w:val="12"/>
        <w:kinsoku w:val="0"/>
        <w:overflowPunct w:val="0"/>
        <w:spacing w:before="0" w:line="520" w:lineRule="exact"/>
        <w:ind w:left="0" w:firstLine="640" w:firstLineChars="200"/>
        <w:jc w:val="both"/>
        <w:rPr>
          <w:rFonts w:hint="default" w:cs="宋体"/>
          <w:color w:val="auto"/>
          <w:sz w:val="19"/>
          <w:highlight w:val="none"/>
        </w:rPr>
      </w:pPr>
      <w:r>
        <w:rPr>
          <w:rFonts w:ascii="仿宋_GB2312" w:hAnsi="仿宋_GB2312" w:eastAsia="仿宋_GB2312" w:cs="仿宋_GB2312"/>
          <w:color w:val="auto"/>
          <w:sz w:val="32"/>
          <w:szCs w:val="32"/>
          <w:highlight w:val="none"/>
        </w:rPr>
        <w:t>本次招选采用</w:t>
      </w:r>
      <w:r>
        <w:rPr>
          <w:rFonts w:hint="eastAsia" w:ascii="仿宋_GB2312" w:hAnsi="仿宋_GB2312" w:eastAsia="仿宋_GB2312" w:cs="仿宋_GB2312"/>
          <w:color w:val="auto"/>
          <w:sz w:val="32"/>
          <w:szCs w:val="32"/>
          <w:highlight w:val="none"/>
          <w:lang w:val="en-US" w:eastAsia="zh-CN"/>
        </w:rPr>
        <w:t>合理低价法</w:t>
      </w:r>
      <w:r>
        <w:rPr>
          <w:rFonts w:ascii="仿宋_GB2312" w:hAnsi="仿宋_GB2312" w:eastAsia="仿宋_GB2312" w:cs="仿宋_GB2312"/>
          <w:color w:val="auto"/>
          <w:sz w:val="32"/>
          <w:szCs w:val="32"/>
          <w:highlight w:val="none"/>
        </w:rPr>
        <w:t>，资格后审</w:t>
      </w:r>
      <w:r>
        <w:rPr>
          <w:rFonts w:cs="宋体"/>
          <w:color w:val="auto"/>
          <w:highlight w:val="none"/>
        </w:rPr>
        <w:t>。</w:t>
      </w:r>
    </w:p>
    <w:p w14:paraId="6A39D811">
      <w:pPr>
        <w:pStyle w:val="12"/>
        <w:spacing w:before="0" w:line="520" w:lineRule="exact"/>
        <w:ind w:left="0" w:firstLine="640" w:firstLineChars="200"/>
        <w:jc w:val="both"/>
        <w:rPr>
          <w:rFonts w:hint="default" w:ascii="黑体" w:hAnsi="黑体" w:eastAsia="黑体" w:cs="黑体"/>
          <w:color w:val="auto"/>
          <w:sz w:val="32"/>
          <w:szCs w:val="32"/>
          <w:highlight w:val="none"/>
        </w:rPr>
      </w:pPr>
      <w:bookmarkStart w:id="13" w:name="_Toc16811"/>
      <w:r>
        <w:rPr>
          <w:rFonts w:ascii="黑体" w:hAnsi="黑体" w:eastAsia="黑体" w:cs="黑体"/>
          <w:color w:val="auto"/>
          <w:sz w:val="32"/>
          <w:szCs w:val="32"/>
          <w:highlight w:val="none"/>
        </w:rPr>
        <w:t>5.招选文件的获取</w:t>
      </w:r>
      <w:bookmarkEnd w:id="13"/>
    </w:p>
    <w:p w14:paraId="47A7CBFE">
      <w:pPr>
        <w:pStyle w:val="12"/>
        <w:kinsoku w:val="0"/>
        <w:overflowPunct w:val="0"/>
        <w:spacing w:before="0" w:line="520" w:lineRule="exact"/>
        <w:ind w:left="0" w:firstLine="640" w:firstLineChars="200"/>
        <w:jc w:val="both"/>
        <w:rPr>
          <w:rFonts w:hint="default"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5.1 凡有意参加招选的潜在比选人，2024年11月</w:t>
      </w:r>
      <w:r>
        <w:rPr>
          <w:rFonts w:hint="eastAsia" w:ascii="仿宋_GB2312" w:hAnsi="仿宋_GB2312" w:eastAsia="仿宋_GB2312" w:cs="仿宋_GB2312"/>
          <w:color w:val="auto"/>
          <w:sz w:val="32"/>
          <w:szCs w:val="32"/>
          <w:highlight w:val="none"/>
          <w:lang w:val="en-US" w:eastAsia="zh-CN"/>
        </w:rPr>
        <w:t>25</w:t>
      </w:r>
      <w:r>
        <w:rPr>
          <w:rFonts w:ascii="仿宋_GB2312" w:hAnsi="仿宋_GB2312" w:eastAsia="仿宋_GB2312" w:cs="仿宋_GB2312"/>
          <w:color w:val="auto"/>
          <w:sz w:val="32"/>
          <w:szCs w:val="32"/>
          <w:highlight w:val="none"/>
        </w:rPr>
        <w:t>日至2024年11月</w:t>
      </w:r>
      <w:r>
        <w:rPr>
          <w:rFonts w:hint="eastAsia" w:ascii="仿宋_GB2312" w:hAnsi="仿宋_GB2312" w:eastAsia="仿宋_GB2312" w:cs="仿宋_GB2312"/>
          <w:color w:val="auto"/>
          <w:sz w:val="32"/>
          <w:szCs w:val="32"/>
          <w:highlight w:val="none"/>
          <w:lang w:val="en-US" w:eastAsia="zh-CN"/>
        </w:rPr>
        <w:t>29</w:t>
      </w:r>
      <w:r>
        <w:rPr>
          <w:rFonts w:ascii="仿宋_GB2312" w:hAnsi="仿宋_GB2312" w:eastAsia="仿宋_GB2312" w:cs="仿宋_GB2312"/>
          <w:color w:val="auto"/>
          <w:sz w:val="32"/>
          <w:szCs w:val="32"/>
          <w:highlight w:val="none"/>
        </w:rPr>
        <w:t>日24：00前，通过宜泸宜叙公司官网（http://www.scylgsgl.com/）下载公开招选文件。</w:t>
      </w:r>
    </w:p>
    <w:p w14:paraId="3A7D4FF4">
      <w:pPr>
        <w:pStyle w:val="12"/>
        <w:kinsoku w:val="0"/>
        <w:overflowPunct w:val="0"/>
        <w:spacing w:before="0" w:line="520" w:lineRule="exact"/>
        <w:ind w:left="0" w:firstLine="640" w:firstLineChars="200"/>
        <w:jc w:val="both"/>
        <w:rPr>
          <w:rFonts w:hint="default"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5.2 招选公告、招选文件补遗书或通知书（如果有）：在宜泸宜叙公司官网（http://www.scylgsgl.com/）网站发布。</w:t>
      </w:r>
    </w:p>
    <w:p w14:paraId="502D2B1D">
      <w:pPr>
        <w:pStyle w:val="12"/>
        <w:kinsoku w:val="0"/>
        <w:overflowPunct w:val="0"/>
        <w:spacing w:before="0" w:line="520" w:lineRule="exact"/>
        <w:ind w:left="0" w:firstLine="640" w:firstLineChars="200"/>
        <w:jc w:val="both"/>
        <w:rPr>
          <w:rFonts w:hint="default"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5.3 比选人应在比选期间适时关注上述网站，并及时下载相关内容，招选人不再另行通知。如有问题或疑问，应及时与招选人联系；逾期未联系的，招选人视为比选人没有任何问题和疑问，或是已收到或默认已收到，否则造成的一切后果由比选人负责。</w:t>
      </w:r>
    </w:p>
    <w:p w14:paraId="7D745031">
      <w:pPr>
        <w:pStyle w:val="12"/>
        <w:kinsoku w:val="0"/>
        <w:overflowPunct w:val="0"/>
        <w:spacing w:before="0" w:line="520" w:lineRule="exact"/>
        <w:ind w:left="0" w:firstLine="640" w:firstLineChars="200"/>
        <w:jc w:val="both"/>
        <w:rPr>
          <w:rFonts w:hint="default"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5.4 比选人对招选文件有异议的，应当在招选截止时间3日前提出。</w:t>
      </w:r>
    </w:p>
    <w:p w14:paraId="1BA8D389">
      <w:pPr>
        <w:pStyle w:val="12"/>
        <w:spacing w:before="0" w:line="520" w:lineRule="exact"/>
        <w:ind w:left="0" w:firstLine="640" w:firstLineChars="200"/>
        <w:jc w:val="both"/>
        <w:rPr>
          <w:rFonts w:hint="default" w:ascii="黑体" w:hAnsi="黑体" w:eastAsia="黑体" w:cs="黑体"/>
          <w:color w:val="auto"/>
          <w:sz w:val="32"/>
          <w:szCs w:val="32"/>
          <w:highlight w:val="none"/>
        </w:rPr>
      </w:pPr>
      <w:bookmarkStart w:id="14" w:name="_Toc28386"/>
      <w:r>
        <w:rPr>
          <w:rFonts w:ascii="黑体" w:hAnsi="黑体" w:eastAsia="黑体" w:cs="黑体"/>
          <w:color w:val="auto"/>
          <w:sz w:val="32"/>
          <w:szCs w:val="32"/>
          <w:highlight w:val="none"/>
        </w:rPr>
        <w:t>6.比选文件的递交及相关事宜</w:t>
      </w:r>
      <w:bookmarkEnd w:id="14"/>
    </w:p>
    <w:p w14:paraId="34BFEF32">
      <w:pPr>
        <w:pStyle w:val="12"/>
        <w:kinsoku w:val="0"/>
        <w:overflowPunct w:val="0"/>
        <w:spacing w:before="0" w:line="520" w:lineRule="exact"/>
        <w:ind w:left="0" w:firstLine="643" w:firstLineChars="200"/>
        <w:jc w:val="both"/>
        <w:rPr>
          <w:rFonts w:hint="default" w:ascii="仿宋_GB2312" w:hAnsi="仿宋_GB2312" w:eastAsia="仿宋_GB2312" w:cs="仿宋_GB2312"/>
          <w:color w:val="auto"/>
          <w:sz w:val="32"/>
          <w:szCs w:val="32"/>
          <w:highlight w:val="none"/>
        </w:rPr>
      </w:pPr>
      <w:r>
        <w:rPr>
          <w:rFonts w:asciiTheme="minorEastAsia" w:hAnsiTheme="minorEastAsia" w:eastAsiaTheme="minorEastAsia" w:cstheme="minorEastAsia"/>
          <w:b/>
          <w:bCs/>
          <w:color w:val="auto"/>
          <w:sz w:val="32"/>
          <w:szCs w:val="32"/>
          <w:highlight w:val="none"/>
        </w:rPr>
        <w:t>6.1 现场踏勘及招选预备会</w:t>
      </w:r>
      <w:r>
        <w:rPr>
          <w:rFonts w:ascii="仿宋_GB2312" w:hAnsi="仿宋_GB2312" w:eastAsia="仿宋_GB2312" w:cs="仿宋_GB2312"/>
          <w:color w:val="auto"/>
          <w:sz w:val="32"/>
          <w:szCs w:val="32"/>
          <w:highlight w:val="none"/>
        </w:rPr>
        <w:t xml:space="preserve"> </w:t>
      </w:r>
    </w:p>
    <w:p w14:paraId="0F011943">
      <w:pPr>
        <w:pStyle w:val="12"/>
        <w:kinsoku w:val="0"/>
        <w:overflowPunct w:val="0"/>
        <w:spacing w:before="0" w:line="520" w:lineRule="exact"/>
        <w:ind w:left="0" w:firstLine="640" w:firstLineChars="200"/>
        <w:jc w:val="both"/>
        <w:rPr>
          <w:rFonts w:hint="default"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踏勘现场：招选人不组织，由比选人自行考察，并负责考察过程中的交通、安全以及相关费用。</w:t>
      </w:r>
    </w:p>
    <w:p w14:paraId="1557D402">
      <w:pPr>
        <w:pStyle w:val="12"/>
        <w:kinsoku w:val="0"/>
        <w:overflowPunct w:val="0"/>
        <w:spacing w:before="0" w:line="520" w:lineRule="exact"/>
        <w:ind w:left="0" w:firstLine="640" w:firstLineChars="200"/>
        <w:jc w:val="both"/>
        <w:rPr>
          <w:rFonts w:hint="default"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招选预备会：：招选人不召开招选预备会。</w:t>
      </w:r>
    </w:p>
    <w:p w14:paraId="269BDC52">
      <w:pPr>
        <w:pStyle w:val="12"/>
        <w:kinsoku w:val="0"/>
        <w:overflowPunct w:val="0"/>
        <w:spacing w:before="0" w:line="520" w:lineRule="exact"/>
        <w:ind w:left="0" w:firstLine="640" w:firstLineChars="200"/>
        <w:jc w:val="both"/>
        <w:rPr>
          <w:rFonts w:hint="default"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6.2 截止时间：2024年1</w:t>
      </w:r>
      <w:r>
        <w:rPr>
          <w:rFonts w:hint="eastAsia" w:ascii="仿宋_GB2312" w:hAnsi="仿宋_GB2312" w:eastAsia="仿宋_GB2312" w:cs="仿宋_GB2312"/>
          <w:color w:val="auto"/>
          <w:sz w:val="32"/>
          <w:szCs w:val="32"/>
          <w:highlight w:val="none"/>
          <w:lang w:val="en-US" w:eastAsia="zh-CN"/>
        </w:rPr>
        <w:t>2</w:t>
      </w:r>
      <w:r>
        <w:rPr>
          <w:rFonts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w:t>
      </w:r>
      <w:r>
        <w:rPr>
          <w:rFonts w:ascii="仿宋_GB2312" w:hAnsi="仿宋_GB2312" w:eastAsia="仿宋_GB2312" w:cs="仿宋_GB2312"/>
          <w:color w:val="auto"/>
          <w:sz w:val="32"/>
          <w:szCs w:val="32"/>
          <w:highlight w:val="none"/>
        </w:rPr>
        <w:t>日10：00前，比选人必须将按要求密封完好的比选文件以面交或邮寄方式送达比选人指定地点：四川省宜宾市翠屏区牟坪镇宜叙高速绥庆管理中心资产经营部（2-</w:t>
      </w:r>
      <w:r>
        <w:rPr>
          <w:rFonts w:hint="eastAsia" w:ascii="仿宋_GB2312" w:hAnsi="仿宋_GB2312" w:eastAsia="仿宋_GB2312" w:cs="仿宋_GB2312"/>
          <w:color w:val="auto"/>
          <w:sz w:val="32"/>
          <w:szCs w:val="32"/>
          <w:highlight w:val="none"/>
          <w:lang w:val="en-US" w:eastAsia="zh-CN"/>
        </w:rPr>
        <w:t>8</w:t>
      </w:r>
      <w:r>
        <w:rPr>
          <w:rFonts w:ascii="仿宋_GB2312" w:hAnsi="仿宋_GB2312" w:eastAsia="仿宋_GB2312" w:cs="仿宋_GB2312"/>
          <w:color w:val="auto"/>
          <w:sz w:val="32"/>
          <w:szCs w:val="32"/>
          <w:highlight w:val="none"/>
        </w:rPr>
        <w:t>）。</w:t>
      </w:r>
    </w:p>
    <w:p w14:paraId="3E3A3CF6">
      <w:pPr>
        <w:pStyle w:val="12"/>
        <w:kinsoku w:val="0"/>
        <w:overflowPunct w:val="0"/>
        <w:spacing w:before="0" w:line="520" w:lineRule="exact"/>
        <w:ind w:left="0" w:firstLine="640" w:firstLineChars="200"/>
        <w:jc w:val="both"/>
        <w:rPr>
          <w:rFonts w:hint="default"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6.3 以下情况：招选人将不予受理比选文件：</w:t>
      </w:r>
    </w:p>
    <w:p w14:paraId="7FD4DD18">
      <w:pPr>
        <w:pStyle w:val="12"/>
        <w:kinsoku w:val="0"/>
        <w:overflowPunct w:val="0"/>
        <w:spacing w:before="0" w:line="520" w:lineRule="exact"/>
        <w:ind w:left="0" w:firstLine="640" w:firstLineChars="200"/>
        <w:jc w:val="both"/>
        <w:rPr>
          <w:rFonts w:hint="default"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（1）逾期送达的。</w:t>
      </w:r>
    </w:p>
    <w:p w14:paraId="6D472A5A">
      <w:pPr>
        <w:pStyle w:val="12"/>
        <w:kinsoku w:val="0"/>
        <w:overflowPunct w:val="0"/>
        <w:spacing w:before="0" w:line="520" w:lineRule="exact"/>
        <w:ind w:left="0" w:firstLine="640" w:firstLineChars="200"/>
        <w:jc w:val="both"/>
        <w:rPr>
          <w:rFonts w:hint="default"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（2）未送达指定地点的。</w:t>
      </w:r>
    </w:p>
    <w:p w14:paraId="35A4A6CB">
      <w:pPr>
        <w:pStyle w:val="12"/>
        <w:kinsoku w:val="0"/>
        <w:overflowPunct w:val="0"/>
        <w:spacing w:before="0" w:line="520" w:lineRule="exact"/>
        <w:ind w:left="0" w:firstLine="640" w:firstLineChars="200"/>
        <w:jc w:val="both"/>
        <w:rPr>
          <w:rFonts w:hint="default"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（3）未按照招选文件要求密封和标记的。</w:t>
      </w:r>
    </w:p>
    <w:p w14:paraId="76C585AF">
      <w:pPr>
        <w:pStyle w:val="12"/>
        <w:spacing w:before="0" w:line="520" w:lineRule="exact"/>
        <w:ind w:left="0" w:firstLine="640" w:firstLineChars="200"/>
        <w:jc w:val="both"/>
        <w:rPr>
          <w:rFonts w:hint="default" w:ascii="黑体" w:hAnsi="黑体" w:eastAsia="黑体" w:cs="黑体"/>
          <w:color w:val="auto"/>
          <w:sz w:val="32"/>
          <w:szCs w:val="32"/>
          <w:highlight w:val="none"/>
        </w:rPr>
      </w:pPr>
      <w:bookmarkStart w:id="15" w:name="_Toc26021"/>
      <w:r>
        <w:rPr>
          <w:rFonts w:ascii="黑体" w:hAnsi="黑体" w:eastAsia="黑体" w:cs="黑体"/>
          <w:color w:val="auto"/>
          <w:sz w:val="32"/>
          <w:szCs w:val="32"/>
          <w:highlight w:val="none"/>
        </w:rPr>
        <w:t>7.比选保证金</w:t>
      </w:r>
      <w:bookmarkEnd w:id="15"/>
    </w:p>
    <w:p w14:paraId="22994874">
      <w:pPr>
        <w:pStyle w:val="12"/>
        <w:kinsoku w:val="0"/>
        <w:overflowPunct w:val="0"/>
        <w:spacing w:before="0" w:line="520" w:lineRule="exact"/>
        <w:ind w:left="0" w:firstLine="640" w:firstLineChars="200"/>
        <w:jc w:val="both"/>
        <w:outlineLvl w:val="1"/>
        <w:rPr>
          <w:rFonts w:hint="eastAsia" w:eastAsia="仿宋_GB2312" w:cs="宋体"/>
          <w:color w:val="auto"/>
          <w:highlight w:val="none"/>
          <w:lang w:eastAsia="zh-CN"/>
        </w:rPr>
      </w:pPr>
      <w:bookmarkStart w:id="16" w:name="_Toc29843"/>
      <w:r>
        <w:rPr>
          <w:rFonts w:ascii="仿宋_GB2312" w:hAnsi="仿宋_GB2312" w:eastAsia="仿宋_GB2312" w:cs="仿宋_GB2312"/>
          <w:color w:val="auto"/>
          <w:sz w:val="32"/>
          <w:szCs w:val="32"/>
          <w:highlight w:val="none"/>
        </w:rPr>
        <w:t>本次招选不递交招选保证金</w:t>
      </w:r>
      <w:r>
        <w:rPr>
          <w:rFonts w:hint="eastAsia" w:ascii="仿宋_GB2312" w:hAnsi="仿宋_GB2312" w:eastAsia="仿宋_GB2312" w:cs="仿宋_GB2312"/>
          <w:color w:val="auto"/>
          <w:sz w:val="32"/>
          <w:szCs w:val="32"/>
          <w:highlight w:val="none"/>
          <w:lang w:eastAsia="zh-CN"/>
        </w:rPr>
        <w:t>。</w:t>
      </w:r>
    </w:p>
    <w:p w14:paraId="7DBF0A5A">
      <w:pPr>
        <w:pStyle w:val="12"/>
        <w:spacing w:before="0" w:line="520" w:lineRule="exact"/>
        <w:ind w:left="0" w:firstLine="640" w:firstLineChars="200"/>
        <w:jc w:val="both"/>
        <w:rPr>
          <w:rFonts w:hint="default" w:ascii="黑体" w:hAnsi="黑体" w:eastAsia="黑体" w:cs="黑体"/>
          <w:color w:val="auto"/>
          <w:sz w:val="32"/>
          <w:szCs w:val="32"/>
          <w:highlight w:val="none"/>
        </w:rPr>
      </w:pPr>
      <w:r>
        <w:rPr>
          <w:rFonts w:ascii="黑体" w:hAnsi="黑体" w:eastAsia="黑体" w:cs="黑体"/>
          <w:color w:val="auto"/>
          <w:sz w:val="32"/>
          <w:szCs w:val="32"/>
          <w:highlight w:val="none"/>
        </w:rPr>
        <w:t>8.发布公告的媒介</w:t>
      </w:r>
      <w:bookmarkEnd w:id="16"/>
    </w:p>
    <w:p w14:paraId="7A50F23E">
      <w:pPr>
        <w:pStyle w:val="12"/>
        <w:kinsoku w:val="0"/>
        <w:overflowPunct w:val="0"/>
        <w:spacing w:before="0" w:line="520" w:lineRule="exact"/>
        <w:ind w:left="0" w:firstLine="640" w:firstLineChars="200"/>
        <w:jc w:val="both"/>
        <w:rPr>
          <w:rFonts w:hint="default"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本次招选公告在宜泸宜叙公司官网（http://www.scylgsgl.com/）上发布。</w:t>
      </w:r>
    </w:p>
    <w:p w14:paraId="49F3BACA">
      <w:pPr>
        <w:pStyle w:val="12"/>
        <w:spacing w:before="0" w:line="520" w:lineRule="exact"/>
        <w:ind w:left="0" w:firstLine="640" w:firstLineChars="200"/>
        <w:jc w:val="both"/>
        <w:rPr>
          <w:rFonts w:hint="default" w:ascii="黑体" w:hAnsi="黑体" w:eastAsia="黑体" w:cs="黑体"/>
          <w:color w:val="auto"/>
          <w:sz w:val="32"/>
          <w:szCs w:val="32"/>
          <w:highlight w:val="none"/>
        </w:rPr>
      </w:pPr>
      <w:r>
        <w:rPr>
          <w:rFonts w:ascii="黑体" w:hAnsi="黑体" w:eastAsia="黑体" w:cs="黑体"/>
          <w:color w:val="auto"/>
          <w:sz w:val="32"/>
          <w:szCs w:val="32"/>
          <w:highlight w:val="none"/>
        </w:rPr>
        <w:t>9.开标</w:t>
      </w:r>
    </w:p>
    <w:p w14:paraId="38959300">
      <w:pPr>
        <w:pStyle w:val="12"/>
        <w:kinsoku w:val="0"/>
        <w:overflowPunct w:val="0"/>
        <w:spacing w:before="0" w:line="520" w:lineRule="exact"/>
        <w:ind w:left="0" w:firstLine="640" w:firstLineChars="200"/>
        <w:jc w:val="both"/>
        <w:rPr>
          <w:rFonts w:hint="default"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9.1 时间：2024年1</w:t>
      </w:r>
      <w:r>
        <w:rPr>
          <w:rFonts w:hint="eastAsia" w:ascii="仿宋_GB2312" w:hAnsi="仿宋_GB2312" w:eastAsia="仿宋_GB2312" w:cs="仿宋_GB2312"/>
          <w:color w:val="auto"/>
          <w:sz w:val="32"/>
          <w:szCs w:val="32"/>
          <w:highlight w:val="none"/>
          <w:lang w:val="en-US" w:eastAsia="zh-CN"/>
        </w:rPr>
        <w:t>2</w:t>
      </w:r>
      <w:r>
        <w:rPr>
          <w:rFonts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w:t>
      </w:r>
      <w:r>
        <w:rPr>
          <w:rFonts w:ascii="仿宋_GB2312" w:hAnsi="仿宋_GB2312" w:eastAsia="仿宋_GB2312" w:cs="仿宋_GB2312"/>
          <w:color w:val="auto"/>
          <w:sz w:val="32"/>
          <w:szCs w:val="32"/>
          <w:highlight w:val="none"/>
        </w:rPr>
        <w:t xml:space="preserve">日 </w:t>
      </w:r>
      <w:r>
        <w:rPr>
          <w:rFonts w:hint="eastAsia" w:ascii="仿宋_GB2312" w:hAnsi="仿宋_GB2312" w:eastAsia="仿宋_GB2312" w:cs="仿宋_GB2312"/>
          <w:color w:val="auto"/>
          <w:sz w:val="32"/>
          <w:szCs w:val="32"/>
          <w:highlight w:val="none"/>
          <w:lang w:val="en-US" w:eastAsia="zh-CN"/>
        </w:rPr>
        <w:t>10</w:t>
      </w:r>
      <w:r>
        <w:rPr>
          <w:rFonts w:ascii="仿宋_GB2312" w:hAnsi="仿宋_GB2312" w:eastAsia="仿宋_GB2312" w:cs="仿宋_GB2312"/>
          <w:color w:val="auto"/>
          <w:sz w:val="32"/>
          <w:szCs w:val="32"/>
          <w:highlight w:val="none"/>
        </w:rPr>
        <w:t>:30</w:t>
      </w:r>
    </w:p>
    <w:p w14:paraId="0F453B75">
      <w:pPr>
        <w:pStyle w:val="12"/>
        <w:kinsoku w:val="0"/>
        <w:overflowPunct w:val="0"/>
        <w:spacing w:before="0" w:line="520" w:lineRule="exact"/>
        <w:ind w:left="0" w:firstLine="640" w:firstLineChars="200"/>
        <w:jc w:val="both"/>
        <w:rPr>
          <w:rFonts w:hint="default"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9.2 地点：四川省宜宾市翠屏区牟坪镇宜叙高速绥庆管理中心</w:t>
      </w:r>
    </w:p>
    <w:p w14:paraId="3FB7B50F">
      <w:pPr>
        <w:pStyle w:val="12"/>
        <w:kinsoku w:val="0"/>
        <w:overflowPunct w:val="0"/>
        <w:spacing w:before="0" w:line="520" w:lineRule="exact"/>
        <w:ind w:left="0" w:firstLine="640" w:firstLineChars="200"/>
        <w:jc w:val="both"/>
        <w:outlineLvl w:val="1"/>
        <w:rPr>
          <w:rFonts w:hint="default" w:cs="宋体"/>
          <w:color w:val="auto"/>
          <w:sz w:val="24"/>
          <w:highlight w:val="none"/>
        </w:rPr>
      </w:pPr>
      <w:bookmarkStart w:id="17" w:name="_Toc25305"/>
      <w:r>
        <w:rPr>
          <w:rFonts w:ascii="黑体" w:hAnsi="黑体" w:eastAsia="黑体" w:cs="黑体"/>
          <w:color w:val="auto"/>
          <w:sz w:val="32"/>
          <w:szCs w:val="32"/>
          <w:highlight w:val="none"/>
        </w:rPr>
        <w:t>10.招选结果公示</w:t>
      </w:r>
      <w:bookmarkEnd w:id="17"/>
    </w:p>
    <w:p w14:paraId="68254420">
      <w:pPr>
        <w:pStyle w:val="12"/>
        <w:kinsoku w:val="0"/>
        <w:overflowPunct w:val="0"/>
        <w:spacing w:before="0" w:line="520" w:lineRule="exact"/>
        <w:ind w:left="0" w:firstLine="640" w:firstLineChars="200"/>
        <w:jc w:val="both"/>
        <w:rPr>
          <w:rFonts w:hint="default"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10.1 招选结果公示：招选人在收到招选报告之日起3日内，将招选结果在宜泸宜叙公司官网（http://www.scylgsgl.com/）上公示 3 个工作日以接受社会公开监督。比选人或者其他利害关系人对招选结果有异议的，应当在中选候选人公示期间提出，截止日后不再接受异议。</w:t>
      </w:r>
    </w:p>
    <w:p w14:paraId="688DBB75">
      <w:pPr>
        <w:pStyle w:val="12"/>
        <w:kinsoku w:val="0"/>
        <w:overflowPunct w:val="0"/>
        <w:spacing w:before="0" w:line="520" w:lineRule="exact"/>
        <w:ind w:left="0" w:firstLine="640" w:firstLineChars="200"/>
        <w:jc w:val="both"/>
        <w:rPr>
          <w:rFonts w:hint="default"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10.2 投诉处理：比选人或其他利害关系人对招选结果有异议的，应当在中选候选人公示期间提出，截止日后不再接受投诉。</w:t>
      </w:r>
    </w:p>
    <w:p w14:paraId="435F3E02">
      <w:pPr>
        <w:pStyle w:val="12"/>
        <w:spacing w:before="0" w:line="520" w:lineRule="exact"/>
        <w:ind w:left="0" w:firstLine="640" w:firstLineChars="200"/>
        <w:jc w:val="both"/>
        <w:rPr>
          <w:rFonts w:hint="default" w:ascii="黑体" w:hAnsi="黑体" w:eastAsia="黑体" w:cs="黑体"/>
          <w:color w:val="auto"/>
          <w:sz w:val="32"/>
          <w:szCs w:val="32"/>
          <w:highlight w:val="none"/>
        </w:rPr>
      </w:pPr>
      <w:bookmarkStart w:id="18" w:name="_Toc10438"/>
      <w:r>
        <w:rPr>
          <w:rFonts w:ascii="黑体" w:hAnsi="黑体" w:eastAsia="黑体" w:cs="黑体"/>
          <w:color w:val="auto"/>
          <w:sz w:val="32"/>
          <w:szCs w:val="32"/>
          <w:highlight w:val="none"/>
        </w:rPr>
        <w:t>11.联系方式</w:t>
      </w:r>
      <w:bookmarkEnd w:id="18"/>
    </w:p>
    <w:p w14:paraId="73D5E4D3">
      <w:pPr>
        <w:autoSpaceDE/>
        <w:autoSpaceDN/>
        <w:adjustRightInd/>
        <w:spacing w:line="52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招选人：四川宜叙高速公路开发有限责任公司</w:t>
      </w:r>
    </w:p>
    <w:p w14:paraId="601B859D">
      <w:pPr>
        <w:autoSpaceDE/>
        <w:autoSpaceDN/>
        <w:adjustRightInd/>
        <w:spacing w:line="52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　址：四川省宜宾市翠屏区牟坪镇宜叙高速绥庆管理中心</w:t>
      </w:r>
    </w:p>
    <w:p w14:paraId="72978C23">
      <w:pPr>
        <w:autoSpaceDE/>
        <w:autoSpaceDN/>
        <w:adjustRightInd/>
        <w:spacing w:line="52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联系人：龚学玲</w:t>
      </w:r>
    </w:p>
    <w:p w14:paraId="45B3A660">
      <w:pPr>
        <w:autoSpaceDE/>
        <w:autoSpaceDN/>
        <w:adjustRightInd/>
        <w:spacing w:line="52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电话：18208231763</w:t>
      </w:r>
    </w:p>
    <w:p w14:paraId="31720D99">
      <w:pPr>
        <w:autoSpaceDE/>
        <w:autoSpaceDN/>
        <w:adjustRightInd/>
        <w:spacing w:line="520" w:lineRule="exact"/>
        <w:ind w:firstLine="420" w:firstLineChars="200"/>
        <w:jc w:val="both"/>
        <w:rPr>
          <w:rFonts w:ascii="宋体" w:hAnsi="宋体" w:cs="宋体"/>
          <w:color w:val="auto"/>
          <w:sz w:val="21"/>
          <w:highlight w:val="none"/>
        </w:rPr>
      </w:pPr>
    </w:p>
    <w:p w14:paraId="263A5EF3">
      <w:pPr>
        <w:autoSpaceDE/>
        <w:autoSpaceDN/>
        <w:adjustRightInd/>
        <w:spacing w:line="520" w:lineRule="exact"/>
        <w:ind w:firstLine="420" w:firstLineChars="200"/>
        <w:jc w:val="both"/>
        <w:rPr>
          <w:rFonts w:ascii="宋体" w:hAnsi="宋体" w:cs="宋体"/>
          <w:color w:val="auto"/>
          <w:sz w:val="21"/>
          <w:highlight w:val="none"/>
        </w:rPr>
      </w:pPr>
    </w:p>
    <w:p w14:paraId="15F5C3E6">
      <w:pPr>
        <w:autoSpaceDE/>
        <w:autoSpaceDN/>
        <w:adjustRightInd/>
        <w:spacing w:line="520" w:lineRule="exact"/>
        <w:ind w:firstLine="420" w:firstLineChars="200"/>
        <w:jc w:val="both"/>
        <w:rPr>
          <w:rFonts w:ascii="宋体" w:hAnsi="宋体" w:cs="宋体"/>
          <w:color w:val="auto"/>
          <w:sz w:val="21"/>
          <w:highlight w:val="none"/>
        </w:rPr>
      </w:pPr>
    </w:p>
    <w:p w14:paraId="376A4D1A">
      <w:pPr>
        <w:pStyle w:val="12"/>
        <w:kinsoku w:val="0"/>
        <w:overflowPunct w:val="0"/>
        <w:spacing w:before="24" w:line="360" w:lineRule="auto"/>
        <w:ind w:right="89"/>
        <w:rPr>
          <w:rFonts w:hint="default" w:cs="宋体"/>
          <w:color w:val="auto"/>
          <w:highlight w:val="none"/>
        </w:rPr>
      </w:pPr>
      <w:r>
        <w:rPr>
          <w:rFonts w:cs="宋体"/>
          <w:color w:val="auto"/>
          <w:highlight w:val="none"/>
        </w:rPr>
        <w:br w:type="page"/>
      </w:r>
    </w:p>
    <w:p w14:paraId="27D538BA">
      <w:pPr>
        <w:pStyle w:val="12"/>
        <w:kinsoku w:val="0"/>
        <w:overflowPunct w:val="0"/>
        <w:spacing w:before="24" w:line="360" w:lineRule="auto"/>
        <w:ind w:right="89"/>
        <w:rPr>
          <w:rFonts w:hint="default" w:cs="宋体"/>
          <w:color w:val="auto"/>
          <w:highlight w:val="none"/>
        </w:rPr>
      </w:pPr>
    </w:p>
    <w:p w14:paraId="371FEB26">
      <w:pPr>
        <w:spacing w:line="360" w:lineRule="auto"/>
        <w:rPr>
          <w:rFonts w:ascii="宋体" w:hAnsi="宋体" w:cs="宋体"/>
          <w:color w:val="auto"/>
          <w:highlight w:val="none"/>
        </w:rPr>
      </w:pPr>
    </w:p>
    <w:p w14:paraId="254CEC1B">
      <w:pPr>
        <w:spacing w:line="360" w:lineRule="auto"/>
        <w:rPr>
          <w:rFonts w:ascii="宋体" w:hAnsi="宋体" w:cs="宋体"/>
          <w:color w:val="auto"/>
          <w:highlight w:val="none"/>
        </w:rPr>
      </w:pPr>
    </w:p>
    <w:p w14:paraId="2F5AF27C">
      <w:pPr>
        <w:spacing w:line="360" w:lineRule="auto"/>
        <w:rPr>
          <w:rFonts w:ascii="宋体" w:hAnsi="宋体" w:cs="宋体"/>
          <w:color w:val="auto"/>
          <w:highlight w:val="none"/>
        </w:rPr>
      </w:pPr>
    </w:p>
    <w:p w14:paraId="17DA9766">
      <w:pPr>
        <w:spacing w:line="360" w:lineRule="auto"/>
        <w:rPr>
          <w:rFonts w:ascii="宋体" w:hAnsi="宋体" w:cs="宋体"/>
          <w:color w:val="auto"/>
          <w:highlight w:val="none"/>
        </w:rPr>
      </w:pPr>
    </w:p>
    <w:p w14:paraId="397710CE">
      <w:pPr>
        <w:spacing w:line="360" w:lineRule="auto"/>
        <w:rPr>
          <w:rFonts w:ascii="宋体" w:hAnsi="宋体" w:cs="宋体"/>
          <w:color w:val="auto"/>
          <w:highlight w:val="none"/>
        </w:rPr>
      </w:pPr>
    </w:p>
    <w:p w14:paraId="22FB2412">
      <w:pPr>
        <w:spacing w:line="360" w:lineRule="auto"/>
        <w:rPr>
          <w:rFonts w:ascii="宋体" w:hAnsi="宋体" w:cs="宋体"/>
          <w:color w:val="auto"/>
          <w:highlight w:val="none"/>
        </w:rPr>
      </w:pPr>
    </w:p>
    <w:p w14:paraId="7DE0722C">
      <w:pPr>
        <w:spacing w:line="360" w:lineRule="auto"/>
        <w:rPr>
          <w:rFonts w:ascii="宋体" w:hAnsi="宋体" w:cs="宋体"/>
          <w:color w:val="auto"/>
          <w:highlight w:val="none"/>
        </w:rPr>
      </w:pPr>
    </w:p>
    <w:p w14:paraId="41D95208">
      <w:pPr>
        <w:spacing w:line="360" w:lineRule="auto"/>
        <w:rPr>
          <w:rFonts w:ascii="宋体" w:hAnsi="宋体" w:cs="宋体"/>
          <w:color w:val="auto"/>
          <w:highlight w:val="none"/>
        </w:rPr>
      </w:pPr>
    </w:p>
    <w:p w14:paraId="0A9748FC">
      <w:pPr>
        <w:spacing w:line="360" w:lineRule="auto"/>
        <w:rPr>
          <w:rFonts w:ascii="宋体" w:hAnsi="宋体" w:cs="宋体"/>
          <w:color w:val="auto"/>
          <w:highlight w:val="none"/>
        </w:rPr>
      </w:pPr>
    </w:p>
    <w:p w14:paraId="6C54BE4E">
      <w:pPr>
        <w:spacing w:line="360" w:lineRule="auto"/>
        <w:rPr>
          <w:rFonts w:ascii="宋体" w:hAnsi="宋体" w:cs="宋体"/>
          <w:color w:val="auto"/>
          <w:highlight w:val="none"/>
        </w:rPr>
      </w:pPr>
    </w:p>
    <w:p w14:paraId="74D1CC22">
      <w:pPr>
        <w:spacing w:line="360" w:lineRule="auto"/>
        <w:rPr>
          <w:rFonts w:ascii="宋体" w:hAnsi="宋体" w:cs="宋体"/>
          <w:color w:val="auto"/>
          <w:highlight w:val="none"/>
        </w:rPr>
      </w:pPr>
    </w:p>
    <w:p w14:paraId="62BFBBDB">
      <w:pPr>
        <w:pStyle w:val="2"/>
        <w:spacing w:line="360" w:lineRule="auto"/>
        <w:jc w:val="center"/>
        <w:rPr>
          <w:rFonts w:hint="default" w:cs="宋体"/>
          <w:b w:val="0"/>
          <w:color w:val="auto"/>
          <w:sz w:val="52"/>
          <w:highlight w:val="none"/>
        </w:rPr>
      </w:pPr>
      <w:bookmarkStart w:id="19" w:name="_Toc14634"/>
      <w:bookmarkStart w:id="20" w:name="_Toc16110"/>
      <w:r>
        <w:rPr>
          <w:rFonts w:cs="宋体"/>
          <w:color w:val="auto"/>
          <w:sz w:val="52"/>
          <w:highlight w:val="none"/>
        </w:rPr>
        <w:t>第二章  比选人须知</w:t>
      </w:r>
      <w:bookmarkEnd w:id="19"/>
      <w:bookmarkEnd w:id="20"/>
    </w:p>
    <w:p w14:paraId="60BEEEA6">
      <w:pPr>
        <w:pStyle w:val="3"/>
        <w:tabs>
          <w:tab w:val="left" w:pos="4670"/>
        </w:tabs>
        <w:kinsoku w:val="0"/>
        <w:overflowPunct w:val="0"/>
        <w:spacing w:line="360" w:lineRule="auto"/>
        <w:ind w:left="2320"/>
        <w:rPr>
          <w:rFonts w:hint="default" w:cs="宋体"/>
          <w:b w:val="0"/>
          <w:color w:val="auto"/>
          <w:highlight w:val="none"/>
        </w:rPr>
        <w:sectPr>
          <w:headerReference r:id="rId8" w:type="default"/>
          <w:footerReference r:id="rId9" w:type="default"/>
          <w:pgSz w:w="11900" w:h="16840"/>
          <w:pgMar w:top="1440" w:right="1080" w:bottom="1440" w:left="1080" w:header="881" w:footer="894" w:gutter="0"/>
          <w:cols w:space="720" w:num="1"/>
        </w:sectPr>
      </w:pPr>
    </w:p>
    <w:p w14:paraId="2BDD927F">
      <w:pPr>
        <w:spacing w:line="360" w:lineRule="auto"/>
        <w:jc w:val="center"/>
        <w:rPr>
          <w:rFonts w:ascii="宋体" w:hAnsi="宋体" w:cs="宋体"/>
          <w:b/>
          <w:bCs/>
          <w:color w:val="auto"/>
          <w:sz w:val="32"/>
          <w:szCs w:val="22"/>
          <w:highlight w:val="none"/>
        </w:rPr>
      </w:pPr>
      <w:r>
        <w:rPr>
          <w:rFonts w:hint="eastAsia" w:ascii="宋体" w:hAnsi="宋体" w:cs="宋体"/>
          <w:b/>
          <w:bCs/>
          <w:color w:val="auto"/>
          <w:sz w:val="32"/>
          <w:szCs w:val="22"/>
          <w:highlight w:val="none"/>
        </w:rPr>
        <w:t>比选人须知前附表</w:t>
      </w:r>
    </w:p>
    <w:p w14:paraId="6C92AC0D">
      <w:pPr>
        <w:pStyle w:val="12"/>
        <w:kinsoku w:val="0"/>
        <w:overflowPunct w:val="0"/>
        <w:spacing w:before="134" w:line="360" w:lineRule="auto"/>
        <w:ind w:left="0" w:right="163" w:firstLine="420" w:firstLineChars="200"/>
        <w:jc w:val="both"/>
        <w:rPr>
          <w:rFonts w:hint="default" w:cs="宋体"/>
          <w:color w:val="auto"/>
          <w:sz w:val="5"/>
          <w:highlight w:val="none"/>
        </w:rPr>
      </w:pPr>
      <w:r>
        <w:rPr>
          <w:rFonts w:cs="宋体"/>
          <w:color w:val="auto"/>
          <w:highlight w:val="none"/>
        </w:rPr>
        <w:t>《比选人须知前附表》是用于进一步明确《比选人须知》正文中的未尽事宜，由比选人根据本项目具体特点和实际需要编制和填写，与《比选人须知》正文无抵触且与招选文件其他章节相衔接。前附表内容与本须知不一致的，以前附表内容为准。“比选人须知前附表”中的附录表格同属“比选人须知前附表”内容，具有同等效力。</w:t>
      </w:r>
    </w:p>
    <w:tbl>
      <w:tblPr>
        <w:tblStyle w:val="21"/>
        <w:tblW w:w="0" w:type="auto"/>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72"/>
        <w:gridCol w:w="6379"/>
      </w:tblGrid>
      <w:tr w14:paraId="249F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12" w:type="dxa"/>
            <w:tcBorders>
              <w:tl2br w:val="nil"/>
              <w:tr2bl w:val="nil"/>
            </w:tcBorders>
            <w:vAlign w:val="center"/>
          </w:tcPr>
          <w:p w14:paraId="63D2CFA7">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条款号</w:t>
            </w:r>
          </w:p>
        </w:tc>
        <w:tc>
          <w:tcPr>
            <w:tcW w:w="2172" w:type="dxa"/>
            <w:tcBorders>
              <w:tl2br w:val="nil"/>
              <w:tr2bl w:val="nil"/>
            </w:tcBorders>
            <w:vAlign w:val="center"/>
          </w:tcPr>
          <w:p w14:paraId="56C93BA4">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条款名称</w:t>
            </w:r>
          </w:p>
        </w:tc>
        <w:tc>
          <w:tcPr>
            <w:tcW w:w="6379" w:type="dxa"/>
            <w:tcBorders>
              <w:tl2br w:val="nil"/>
              <w:tr2bl w:val="nil"/>
            </w:tcBorders>
            <w:vAlign w:val="center"/>
          </w:tcPr>
          <w:p w14:paraId="65145C17">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编列内容</w:t>
            </w:r>
          </w:p>
        </w:tc>
      </w:tr>
      <w:tr w14:paraId="5311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vAlign w:val="center"/>
          </w:tcPr>
          <w:p w14:paraId="5D5D9C95">
            <w:pPr>
              <w:jc w:val="center"/>
              <w:rPr>
                <w:rFonts w:ascii="宋体" w:hAnsi="宋体" w:cs="宋体"/>
                <w:color w:val="auto"/>
                <w:sz w:val="21"/>
                <w:szCs w:val="21"/>
                <w:highlight w:val="none"/>
              </w:rPr>
            </w:pPr>
            <w:r>
              <w:rPr>
                <w:rFonts w:hint="eastAsia" w:ascii="宋体" w:hAnsi="宋体" w:cs="宋体"/>
                <w:color w:val="auto"/>
                <w:sz w:val="21"/>
                <w:szCs w:val="21"/>
                <w:highlight w:val="none"/>
              </w:rPr>
              <w:t>1.1.1</w:t>
            </w:r>
          </w:p>
        </w:tc>
        <w:tc>
          <w:tcPr>
            <w:tcW w:w="2172" w:type="dxa"/>
            <w:tcBorders>
              <w:tl2br w:val="nil"/>
              <w:tr2bl w:val="nil"/>
            </w:tcBorders>
            <w:vAlign w:val="center"/>
          </w:tcPr>
          <w:p w14:paraId="1DA07E61">
            <w:pPr>
              <w:jc w:val="center"/>
              <w:rPr>
                <w:rFonts w:ascii="宋体" w:hAnsi="宋体" w:cs="宋体"/>
                <w:color w:val="auto"/>
                <w:sz w:val="21"/>
                <w:szCs w:val="21"/>
                <w:highlight w:val="none"/>
              </w:rPr>
            </w:pPr>
            <w:r>
              <w:rPr>
                <w:rFonts w:hint="eastAsia" w:ascii="宋体" w:hAnsi="宋体" w:cs="宋体"/>
                <w:color w:val="auto"/>
                <w:sz w:val="21"/>
                <w:szCs w:val="21"/>
                <w:highlight w:val="none"/>
              </w:rPr>
              <w:t>招选人</w:t>
            </w:r>
          </w:p>
        </w:tc>
        <w:tc>
          <w:tcPr>
            <w:tcW w:w="6379" w:type="dxa"/>
            <w:tcBorders>
              <w:tl2br w:val="nil"/>
              <w:tr2bl w:val="nil"/>
            </w:tcBorders>
            <w:vAlign w:val="center"/>
          </w:tcPr>
          <w:p w14:paraId="30864B66">
            <w:pPr>
              <w:rPr>
                <w:rFonts w:ascii="宋体" w:hAnsi="宋体" w:cs="宋体"/>
                <w:color w:val="auto"/>
                <w:sz w:val="21"/>
                <w:highlight w:val="none"/>
              </w:rPr>
            </w:pPr>
            <w:r>
              <w:rPr>
                <w:rFonts w:hint="eastAsia" w:ascii="宋体" w:hAnsi="宋体" w:cs="宋体"/>
                <w:color w:val="auto"/>
                <w:sz w:val="21"/>
                <w:szCs w:val="21"/>
                <w:highlight w:val="none"/>
              </w:rPr>
              <w:t>招选人：</w:t>
            </w:r>
            <w:r>
              <w:rPr>
                <w:rFonts w:hint="eastAsia" w:ascii="宋体" w:hAnsi="宋体" w:cs="宋体"/>
                <w:color w:val="auto"/>
                <w:sz w:val="21"/>
                <w:highlight w:val="none"/>
              </w:rPr>
              <w:t>四川宜叙高速公路开发有限责任公司</w:t>
            </w:r>
          </w:p>
          <w:p w14:paraId="5FDEDBC7">
            <w:pPr>
              <w:rPr>
                <w:rFonts w:ascii="宋体" w:hAnsi="宋体" w:cs="宋体"/>
                <w:color w:val="auto"/>
                <w:sz w:val="21"/>
                <w:highlight w:val="none"/>
              </w:rPr>
            </w:pPr>
            <w:r>
              <w:rPr>
                <w:rFonts w:hint="eastAsia" w:ascii="宋体" w:hAnsi="宋体" w:cs="宋体"/>
                <w:color w:val="auto"/>
                <w:sz w:val="21"/>
                <w:szCs w:val="21"/>
                <w:highlight w:val="none"/>
              </w:rPr>
              <w:t>地  址：</w:t>
            </w:r>
            <w:r>
              <w:rPr>
                <w:rFonts w:hint="eastAsia" w:ascii="宋体" w:hAnsi="宋体" w:cs="宋体"/>
                <w:color w:val="auto"/>
                <w:sz w:val="21"/>
                <w:highlight w:val="none"/>
              </w:rPr>
              <w:t>四川省宜宾市翠屏区牟坪镇宜叙高速绥庆管理中心</w:t>
            </w:r>
          </w:p>
          <w:p w14:paraId="60995321">
            <w:pPr>
              <w:rPr>
                <w:rFonts w:ascii="宋体" w:hAnsi="宋体" w:cs="宋体"/>
                <w:color w:val="auto"/>
                <w:sz w:val="21"/>
                <w:highlight w:val="none"/>
              </w:rPr>
            </w:pPr>
            <w:r>
              <w:rPr>
                <w:rFonts w:hint="eastAsia" w:ascii="宋体" w:hAnsi="宋体" w:cs="宋体"/>
                <w:color w:val="auto"/>
                <w:sz w:val="21"/>
                <w:szCs w:val="21"/>
                <w:highlight w:val="none"/>
              </w:rPr>
              <w:t>电  话：</w:t>
            </w:r>
            <w:r>
              <w:rPr>
                <w:rFonts w:hint="eastAsia" w:ascii="宋体" w:hAnsi="宋体" w:cs="宋体"/>
                <w:color w:val="auto"/>
                <w:sz w:val="21"/>
                <w:highlight w:val="none"/>
              </w:rPr>
              <w:t>18208231763</w:t>
            </w:r>
          </w:p>
          <w:p w14:paraId="4FF221A9">
            <w:pPr>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highlight w:val="none"/>
              </w:rPr>
              <w:t>龚学玲</w:t>
            </w:r>
          </w:p>
        </w:tc>
      </w:tr>
      <w:tr w14:paraId="277E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vAlign w:val="center"/>
          </w:tcPr>
          <w:p w14:paraId="67A98974">
            <w:pPr>
              <w:jc w:val="center"/>
              <w:rPr>
                <w:rFonts w:ascii="宋体" w:hAnsi="宋体" w:cs="宋体"/>
                <w:color w:val="auto"/>
                <w:sz w:val="21"/>
                <w:szCs w:val="21"/>
                <w:highlight w:val="none"/>
              </w:rPr>
            </w:pPr>
            <w:r>
              <w:rPr>
                <w:rFonts w:hint="eastAsia" w:ascii="宋体" w:hAnsi="宋体" w:cs="宋体"/>
                <w:color w:val="auto"/>
                <w:sz w:val="21"/>
                <w:szCs w:val="21"/>
                <w:highlight w:val="none"/>
              </w:rPr>
              <w:t>1.1.2</w:t>
            </w:r>
          </w:p>
        </w:tc>
        <w:tc>
          <w:tcPr>
            <w:tcW w:w="2172" w:type="dxa"/>
            <w:tcBorders>
              <w:tl2br w:val="nil"/>
              <w:tr2bl w:val="nil"/>
            </w:tcBorders>
            <w:vAlign w:val="center"/>
          </w:tcPr>
          <w:p w14:paraId="1FFE8085">
            <w:pPr>
              <w:jc w:val="center"/>
              <w:rPr>
                <w:rFonts w:ascii="宋体" w:hAnsi="宋体" w:cs="宋体"/>
                <w:color w:val="auto"/>
                <w:sz w:val="21"/>
                <w:szCs w:val="21"/>
                <w:highlight w:val="none"/>
              </w:rPr>
            </w:pPr>
            <w:r>
              <w:rPr>
                <w:rFonts w:hint="eastAsia" w:ascii="宋体" w:hAnsi="宋体" w:cs="宋体"/>
                <w:color w:val="auto"/>
                <w:sz w:val="21"/>
                <w:szCs w:val="21"/>
                <w:highlight w:val="none"/>
              </w:rPr>
              <w:t>招选项目名称</w:t>
            </w:r>
          </w:p>
        </w:tc>
        <w:tc>
          <w:tcPr>
            <w:tcW w:w="6379" w:type="dxa"/>
            <w:tcBorders>
              <w:tl2br w:val="nil"/>
              <w:tr2bl w:val="nil"/>
            </w:tcBorders>
            <w:vAlign w:val="center"/>
          </w:tcPr>
          <w:p w14:paraId="48F6515A">
            <w:pPr>
              <w:rPr>
                <w:rFonts w:ascii="宋体" w:hAnsi="宋体" w:cs="宋体"/>
                <w:color w:val="auto"/>
                <w:sz w:val="21"/>
                <w:szCs w:val="21"/>
                <w:highlight w:val="none"/>
              </w:rPr>
            </w:pPr>
            <w:r>
              <w:rPr>
                <w:rFonts w:hint="eastAsia" w:ascii="宋体" w:hAnsi="宋体" w:cs="宋体"/>
                <w:color w:val="auto"/>
                <w:sz w:val="20"/>
                <w:highlight w:val="none"/>
              </w:rPr>
              <w:t>宜叙公司</w:t>
            </w:r>
            <w:r>
              <w:rPr>
                <w:rFonts w:ascii="宋体" w:hAnsi="宋体" w:cs="宋体"/>
                <w:color w:val="auto"/>
                <w:sz w:val="20"/>
                <w:highlight w:val="none"/>
              </w:rPr>
              <w:t>（</w:t>
            </w:r>
            <w:r>
              <w:rPr>
                <w:rFonts w:hint="eastAsia" w:ascii="宋体" w:hAnsi="宋体" w:cs="宋体"/>
                <w:color w:val="auto"/>
                <w:sz w:val="20"/>
                <w:highlight w:val="none"/>
              </w:rPr>
              <w:t>长宁</w:t>
            </w:r>
            <w:r>
              <w:rPr>
                <w:rFonts w:hint="eastAsia" w:ascii="宋体" w:hAnsi="宋体" w:cs="宋体"/>
                <w:color w:val="auto"/>
                <w:sz w:val="20"/>
                <w:highlight w:val="none"/>
                <w:lang w:val="en-US" w:eastAsia="zh-CN"/>
              </w:rPr>
              <w:t>段</w:t>
            </w:r>
            <w:r>
              <w:rPr>
                <w:rFonts w:ascii="宋体" w:hAnsi="宋体" w:cs="宋体"/>
                <w:color w:val="auto"/>
                <w:sz w:val="20"/>
                <w:highlight w:val="none"/>
              </w:rPr>
              <w:t>）</w:t>
            </w:r>
            <w:r>
              <w:rPr>
                <w:rFonts w:hint="eastAsia" w:ascii="宋体" w:hAnsi="宋体" w:cs="宋体"/>
                <w:color w:val="auto"/>
                <w:sz w:val="20"/>
                <w:highlight w:val="none"/>
              </w:rPr>
              <w:t>土地</w:t>
            </w:r>
            <w:r>
              <w:rPr>
                <w:rFonts w:ascii="宋体" w:hAnsi="宋体" w:cs="宋体"/>
                <w:color w:val="auto"/>
                <w:sz w:val="20"/>
                <w:highlight w:val="none"/>
              </w:rPr>
              <w:t>测绘和地籍调查</w:t>
            </w:r>
            <w:r>
              <w:rPr>
                <w:rFonts w:hint="eastAsia" w:ascii="宋体" w:hAnsi="宋体" w:cs="宋体"/>
                <w:color w:val="auto"/>
                <w:sz w:val="20"/>
                <w:highlight w:val="none"/>
              </w:rPr>
              <w:t>项目</w:t>
            </w:r>
          </w:p>
        </w:tc>
      </w:tr>
      <w:tr w14:paraId="3D40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vAlign w:val="center"/>
          </w:tcPr>
          <w:p w14:paraId="2BEB72CC">
            <w:pPr>
              <w:jc w:val="center"/>
              <w:rPr>
                <w:rFonts w:ascii="宋体" w:hAnsi="宋体" w:cs="宋体"/>
                <w:color w:val="auto"/>
                <w:sz w:val="21"/>
                <w:szCs w:val="21"/>
                <w:highlight w:val="none"/>
              </w:rPr>
            </w:pPr>
            <w:r>
              <w:rPr>
                <w:rFonts w:hint="eastAsia" w:ascii="宋体" w:hAnsi="宋体" w:cs="宋体"/>
                <w:color w:val="auto"/>
                <w:sz w:val="21"/>
                <w:szCs w:val="21"/>
                <w:highlight w:val="none"/>
              </w:rPr>
              <w:t>1.2.1</w:t>
            </w:r>
          </w:p>
        </w:tc>
        <w:tc>
          <w:tcPr>
            <w:tcW w:w="2172" w:type="dxa"/>
            <w:tcBorders>
              <w:tl2br w:val="nil"/>
              <w:tr2bl w:val="nil"/>
            </w:tcBorders>
            <w:vAlign w:val="center"/>
          </w:tcPr>
          <w:p w14:paraId="04AEE148">
            <w:pPr>
              <w:jc w:val="center"/>
              <w:rPr>
                <w:rFonts w:ascii="宋体" w:hAnsi="宋体" w:cs="宋体"/>
                <w:color w:val="auto"/>
                <w:sz w:val="21"/>
                <w:szCs w:val="21"/>
                <w:highlight w:val="none"/>
              </w:rPr>
            </w:pPr>
            <w:r>
              <w:rPr>
                <w:rFonts w:hint="eastAsia" w:ascii="宋体" w:hAnsi="宋体" w:cs="宋体"/>
                <w:color w:val="auto"/>
                <w:sz w:val="21"/>
                <w:szCs w:val="21"/>
                <w:highlight w:val="none"/>
              </w:rPr>
              <w:t>资金来源及比例</w:t>
            </w:r>
          </w:p>
        </w:tc>
        <w:tc>
          <w:tcPr>
            <w:tcW w:w="6379" w:type="dxa"/>
            <w:tcBorders>
              <w:tl2br w:val="nil"/>
              <w:tr2bl w:val="nil"/>
            </w:tcBorders>
            <w:vAlign w:val="center"/>
          </w:tcPr>
          <w:p w14:paraId="1F53BE05">
            <w:pPr>
              <w:rPr>
                <w:rFonts w:ascii="宋体" w:hAnsi="宋体" w:cs="宋体"/>
                <w:color w:val="auto"/>
                <w:sz w:val="21"/>
                <w:szCs w:val="21"/>
                <w:highlight w:val="none"/>
              </w:rPr>
            </w:pPr>
            <w:r>
              <w:rPr>
                <w:rFonts w:hint="eastAsia" w:ascii="宋体" w:hAnsi="宋体" w:cs="宋体"/>
                <w:color w:val="auto"/>
                <w:sz w:val="21"/>
                <w:szCs w:val="21"/>
                <w:highlight w:val="none"/>
              </w:rPr>
              <w:t>资金来源：业主自筹</w:t>
            </w:r>
          </w:p>
          <w:p w14:paraId="05580073">
            <w:pPr>
              <w:rPr>
                <w:rFonts w:ascii="宋体" w:hAnsi="宋体" w:cs="宋体"/>
                <w:color w:val="auto"/>
                <w:sz w:val="21"/>
                <w:szCs w:val="21"/>
                <w:highlight w:val="none"/>
              </w:rPr>
            </w:pPr>
            <w:r>
              <w:rPr>
                <w:rFonts w:hint="eastAsia" w:ascii="宋体" w:hAnsi="宋体" w:cs="宋体"/>
                <w:color w:val="auto"/>
                <w:sz w:val="21"/>
                <w:szCs w:val="21"/>
                <w:highlight w:val="none"/>
              </w:rPr>
              <w:t>出资比例：100%</w:t>
            </w:r>
          </w:p>
        </w:tc>
      </w:tr>
      <w:tr w14:paraId="4712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12" w:type="dxa"/>
            <w:tcBorders>
              <w:tl2br w:val="nil"/>
              <w:tr2bl w:val="nil"/>
            </w:tcBorders>
            <w:vAlign w:val="center"/>
          </w:tcPr>
          <w:p w14:paraId="77D44D05">
            <w:pPr>
              <w:jc w:val="center"/>
              <w:rPr>
                <w:rFonts w:ascii="宋体" w:hAnsi="宋体" w:cs="宋体"/>
                <w:color w:val="auto"/>
                <w:sz w:val="21"/>
                <w:szCs w:val="21"/>
                <w:highlight w:val="none"/>
              </w:rPr>
            </w:pPr>
            <w:r>
              <w:rPr>
                <w:rFonts w:hint="eastAsia" w:ascii="宋体" w:hAnsi="宋体" w:cs="宋体"/>
                <w:color w:val="auto"/>
                <w:sz w:val="21"/>
                <w:szCs w:val="21"/>
                <w:highlight w:val="none"/>
              </w:rPr>
              <w:t>1.2.2</w:t>
            </w:r>
          </w:p>
        </w:tc>
        <w:tc>
          <w:tcPr>
            <w:tcW w:w="2172" w:type="dxa"/>
            <w:tcBorders>
              <w:tl2br w:val="nil"/>
              <w:tr2bl w:val="nil"/>
            </w:tcBorders>
            <w:vAlign w:val="center"/>
          </w:tcPr>
          <w:p w14:paraId="494F0C2B">
            <w:pPr>
              <w:jc w:val="center"/>
              <w:rPr>
                <w:rFonts w:ascii="宋体" w:hAnsi="宋体" w:cs="宋体"/>
                <w:color w:val="auto"/>
                <w:sz w:val="21"/>
                <w:szCs w:val="21"/>
                <w:highlight w:val="none"/>
              </w:rPr>
            </w:pPr>
            <w:r>
              <w:rPr>
                <w:rFonts w:hint="eastAsia" w:ascii="宋体" w:hAnsi="宋体" w:cs="宋体"/>
                <w:color w:val="auto"/>
                <w:sz w:val="21"/>
                <w:szCs w:val="21"/>
                <w:highlight w:val="none"/>
              </w:rPr>
              <w:t>资金落实情况</w:t>
            </w:r>
          </w:p>
        </w:tc>
        <w:tc>
          <w:tcPr>
            <w:tcW w:w="6379" w:type="dxa"/>
            <w:tcBorders>
              <w:tl2br w:val="nil"/>
              <w:tr2bl w:val="nil"/>
            </w:tcBorders>
            <w:vAlign w:val="center"/>
          </w:tcPr>
          <w:p w14:paraId="49EAD892">
            <w:pPr>
              <w:rPr>
                <w:rFonts w:ascii="宋体" w:hAnsi="宋体" w:cs="宋体"/>
                <w:color w:val="auto"/>
                <w:sz w:val="21"/>
                <w:szCs w:val="21"/>
                <w:highlight w:val="none"/>
              </w:rPr>
            </w:pPr>
            <w:r>
              <w:rPr>
                <w:rFonts w:hint="eastAsia" w:ascii="宋体" w:hAnsi="宋体" w:cs="宋体"/>
                <w:color w:val="auto"/>
                <w:sz w:val="21"/>
                <w:szCs w:val="21"/>
                <w:highlight w:val="none"/>
              </w:rPr>
              <w:t>资金已落实</w:t>
            </w:r>
          </w:p>
        </w:tc>
      </w:tr>
      <w:tr w14:paraId="0D69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12" w:type="dxa"/>
            <w:tcBorders>
              <w:tl2br w:val="nil"/>
              <w:tr2bl w:val="nil"/>
            </w:tcBorders>
            <w:vAlign w:val="center"/>
          </w:tcPr>
          <w:p w14:paraId="51BB8BB3">
            <w:pPr>
              <w:jc w:val="center"/>
              <w:rPr>
                <w:rFonts w:ascii="宋体" w:hAnsi="宋体" w:cs="宋体"/>
                <w:color w:val="auto"/>
                <w:sz w:val="21"/>
                <w:szCs w:val="21"/>
                <w:highlight w:val="none"/>
              </w:rPr>
            </w:pPr>
            <w:r>
              <w:rPr>
                <w:rFonts w:hint="eastAsia" w:ascii="宋体" w:hAnsi="宋体" w:cs="宋体"/>
                <w:color w:val="auto"/>
                <w:sz w:val="21"/>
                <w:szCs w:val="21"/>
                <w:highlight w:val="none"/>
              </w:rPr>
              <w:t>1.3.1</w:t>
            </w:r>
          </w:p>
        </w:tc>
        <w:tc>
          <w:tcPr>
            <w:tcW w:w="2172" w:type="dxa"/>
            <w:tcBorders>
              <w:tl2br w:val="nil"/>
              <w:tr2bl w:val="nil"/>
            </w:tcBorders>
            <w:vAlign w:val="center"/>
          </w:tcPr>
          <w:p w14:paraId="45F736BE">
            <w:pPr>
              <w:jc w:val="center"/>
              <w:rPr>
                <w:rFonts w:ascii="宋体" w:hAnsi="宋体" w:cs="宋体"/>
                <w:color w:val="auto"/>
                <w:sz w:val="21"/>
                <w:szCs w:val="21"/>
                <w:highlight w:val="none"/>
              </w:rPr>
            </w:pPr>
            <w:r>
              <w:rPr>
                <w:rFonts w:hint="eastAsia" w:ascii="宋体" w:hAnsi="宋体" w:cs="宋体"/>
                <w:color w:val="auto"/>
                <w:sz w:val="21"/>
                <w:szCs w:val="21"/>
                <w:highlight w:val="none"/>
              </w:rPr>
              <w:t>比选范围</w:t>
            </w:r>
          </w:p>
        </w:tc>
        <w:tc>
          <w:tcPr>
            <w:tcW w:w="6379" w:type="dxa"/>
            <w:tcBorders>
              <w:tl2br w:val="nil"/>
              <w:tr2bl w:val="nil"/>
            </w:tcBorders>
            <w:vAlign w:val="center"/>
          </w:tcPr>
          <w:p w14:paraId="30E56C5E">
            <w:pPr>
              <w:rPr>
                <w:rFonts w:ascii="宋体" w:hAnsi="宋体" w:cs="宋体"/>
                <w:color w:val="auto"/>
                <w:sz w:val="21"/>
                <w:szCs w:val="21"/>
                <w:highlight w:val="none"/>
              </w:rPr>
            </w:pPr>
            <w:r>
              <w:rPr>
                <w:rFonts w:hint="eastAsia" w:ascii="宋体" w:hAnsi="宋体" w:cs="宋体"/>
                <w:color w:val="auto"/>
                <w:sz w:val="21"/>
                <w:szCs w:val="21"/>
                <w:highlight w:val="none"/>
              </w:rPr>
              <w:t>见招选公告</w:t>
            </w:r>
          </w:p>
        </w:tc>
      </w:tr>
      <w:tr w14:paraId="74DC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12" w:type="dxa"/>
            <w:tcBorders>
              <w:tl2br w:val="nil"/>
              <w:tr2bl w:val="nil"/>
            </w:tcBorders>
            <w:vAlign w:val="center"/>
          </w:tcPr>
          <w:p w14:paraId="32AAFF21">
            <w:pPr>
              <w:jc w:val="center"/>
              <w:rPr>
                <w:rFonts w:ascii="宋体" w:hAnsi="宋体" w:cs="宋体"/>
                <w:color w:val="auto"/>
                <w:sz w:val="21"/>
                <w:szCs w:val="21"/>
                <w:highlight w:val="none"/>
              </w:rPr>
            </w:pPr>
            <w:r>
              <w:rPr>
                <w:rFonts w:hint="eastAsia" w:ascii="宋体" w:hAnsi="宋体" w:cs="宋体"/>
                <w:color w:val="auto"/>
                <w:sz w:val="21"/>
                <w:szCs w:val="21"/>
                <w:highlight w:val="none"/>
              </w:rPr>
              <w:t>1.3.2</w:t>
            </w:r>
          </w:p>
        </w:tc>
        <w:tc>
          <w:tcPr>
            <w:tcW w:w="2172" w:type="dxa"/>
            <w:tcBorders>
              <w:tl2br w:val="nil"/>
              <w:tr2bl w:val="nil"/>
            </w:tcBorders>
            <w:vAlign w:val="center"/>
          </w:tcPr>
          <w:p w14:paraId="7B7C39A6">
            <w:pPr>
              <w:jc w:val="center"/>
              <w:rPr>
                <w:rFonts w:ascii="宋体" w:hAnsi="宋体" w:cs="宋体"/>
                <w:color w:val="auto"/>
                <w:sz w:val="21"/>
                <w:szCs w:val="21"/>
                <w:highlight w:val="none"/>
              </w:rPr>
            </w:pPr>
            <w:r>
              <w:rPr>
                <w:rFonts w:hint="eastAsia" w:ascii="宋体" w:hAnsi="宋体" w:cs="宋体"/>
                <w:color w:val="auto"/>
                <w:sz w:val="21"/>
                <w:szCs w:val="21"/>
                <w:highlight w:val="none"/>
              </w:rPr>
              <w:t>服务期</w:t>
            </w:r>
          </w:p>
        </w:tc>
        <w:tc>
          <w:tcPr>
            <w:tcW w:w="6379" w:type="dxa"/>
            <w:tcBorders>
              <w:tl2br w:val="nil"/>
              <w:tr2bl w:val="nil"/>
            </w:tcBorders>
            <w:vAlign w:val="center"/>
          </w:tcPr>
          <w:p w14:paraId="7B25F196">
            <w:pPr>
              <w:rPr>
                <w:rFonts w:ascii="宋体" w:hAnsi="宋体" w:cs="宋体"/>
                <w:color w:val="auto"/>
                <w:sz w:val="21"/>
                <w:szCs w:val="21"/>
                <w:highlight w:val="none"/>
              </w:rPr>
            </w:pPr>
            <w:r>
              <w:rPr>
                <w:rFonts w:hint="eastAsia" w:ascii="宋体" w:hAnsi="宋体" w:cs="宋体"/>
                <w:color w:val="auto"/>
                <w:sz w:val="21"/>
                <w:szCs w:val="21"/>
                <w:highlight w:val="none"/>
              </w:rPr>
              <w:t>合同生效后2个月内，具体时间以招选人的通知为准。</w:t>
            </w:r>
          </w:p>
        </w:tc>
      </w:tr>
      <w:tr w14:paraId="45FE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2" w:type="dxa"/>
            <w:tcBorders>
              <w:tl2br w:val="nil"/>
              <w:tr2bl w:val="nil"/>
            </w:tcBorders>
            <w:vAlign w:val="center"/>
          </w:tcPr>
          <w:p w14:paraId="2390F55F">
            <w:pPr>
              <w:jc w:val="center"/>
              <w:rPr>
                <w:rFonts w:ascii="宋体" w:hAnsi="宋体" w:cs="宋体"/>
                <w:color w:val="auto"/>
                <w:sz w:val="21"/>
                <w:szCs w:val="21"/>
                <w:highlight w:val="none"/>
              </w:rPr>
            </w:pPr>
            <w:r>
              <w:rPr>
                <w:rFonts w:hint="eastAsia" w:ascii="宋体" w:hAnsi="宋体" w:cs="宋体"/>
                <w:color w:val="auto"/>
                <w:sz w:val="21"/>
                <w:szCs w:val="21"/>
                <w:highlight w:val="none"/>
              </w:rPr>
              <w:t>1.3.3</w:t>
            </w:r>
          </w:p>
        </w:tc>
        <w:tc>
          <w:tcPr>
            <w:tcW w:w="2172" w:type="dxa"/>
            <w:tcBorders>
              <w:tl2br w:val="nil"/>
              <w:tr2bl w:val="nil"/>
            </w:tcBorders>
            <w:vAlign w:val="center"/>
          </w:tcPr>
          <w:p w14:paraId="21E64912">
            <w:pPr>
              <w:jc w:val="center"/>
              <w:rPr>
                <w:rFonts w:ascii="宋体" w:hAnsi="宋体" w:cs="宋体"/>
                <w:color w:val="auto"/>
                <w:sz w:val="21"/>
                <w:szCs w:val="21"/>
                <w:highlight w:val="none"/>
              </w:rPr>
            </w:pPr>
            <w:r>
              <w:rPr>
                <w:rFonts w:hint="eastAsia" w:ascii="宋体" w:hAnsi="宋体" w:cs="宋体"/>
                <w:color w:val="auto"/>
                <w:sz w:val="21"/>
                <w:szCs w:val="21"/>
                <w:highlight w:val="none"/>
              </w:rPr>
              <w:t>服务地点</w:t>
            </w:r>
          </w:p>
        </w:tc>
        <w:tc>
          <w:tcPr>
            <w:tcW w:w="6379" w:type="dxa"/>
            <w:tcBorders>
              <w:tl2br w:val="nil"/>
              <w:tr2bl w:val="nil"/>
            </w:tcBorders>
            <w:vAlign w:val="center"/>
          </w:tcPr>
          <w:p w14:paraId="61B6FCEA">
            <w:pPr>
              <w:rPr>
                <w:rFonts w:ascii="宋体" w:hAnsi="宋体" w:cs="宋体"/>
                <w:color w:val="auto"/>
                <w:sz w:val="21"/>
                <w:szCs w:val="21"/>
                <w:highlight w:val="none"/>
              </w:rPr>
            </w:pPr>
            <w:r>
              <w:rPr>
                <w:rFonts w:hint="eastAsia" w:ascii="宋体" w:hAnsi="宋体" w:cs="宋体"/>
                <w:color w:val="auto"/>
                <w:sz w:val="21"/>
                <w:szCs w:val="21"/>
                <w:highlight w:val="none"/>
              </w:rPr>
              <w:t>长宁县</w:t>
            </w:r>
          </w:p>
        </w:tc>
      </w:tr>
      <w:tr w14:paraId="316CF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12" w:type="dxa"/>
            <w:tcBorders>
              <w:tl2br w:val="nil"/>
              <w:tr2bl w:val="nil"/>
            </w:tcBorders>
            <w:vAlign w:val="center"/>
          </w:tcPr>
          <w:p w14:paraId="1BE1B404">
            <w:pPr>
              <w:jc w:val="center"/>
              <w:rPr>
                <w:rFonts w:ascii="宋体" w:hAnsi="宋体" w:cs="宋体"/>
                <w:color w:val="auto"/>
                <w:sz w:val="21"/>
                <w:szCs w:val="21"/>
                <w:highlight w:val="none"/>
              </w:rPr>
            </w:pPr>
            <w:r>
              <w:rPr>
                <w:rFonts w:hint="eastAsia" w:ascii="宋体" w:hAnsi="宋体" w:cs="宋体"/>
                <w:color w:val="auto"/>
                <w:sz w:val="21"/>
                <w:szCs w:val="21"/>
                <w:highlight w:val="none"/>
              </w:rPr>
              <w:t>1.3.4</w:t>
            </w:r>
          </w:p>
        </w:tc>
        <w:tc>
          <w:tcPr>
            <w:tcW w:w="2172" w:type="dxa"/>
            <w:tcBorders>
              <w:tl2br w:val="nil"/>
              <w:tr2bl w:val="nil"/>
            </w:tcBorders>
            <w:vAlign w:val="center"/>
          </w:tcPr>
          <w:p w14:paraId="62645F5D">
            <w:pPr>
              <w:jc w:val="center"/>
              <w:rPr>
                <w:rFonts w:ascii="宋体" w:hAnsi="宋体" w:cs="宋体"/>
                <w:color w:val="auto"/>
                <w:sz w:val="21"/>
                <w:szCs w:val="21"/>
                <w:highlight w:val="none"/>
              </w:rPr>
            </w:pPr>
            <w:r>
              <w:rPr>
                <w:rFonts w:hint="eastAsia" w:ascii="宋体" w:hAnsi="宋体" w:cs="宋体"/>
                <w:color w:val="auto"/>
                <w:sz w:val="21"/>
                <w:szCs w:val="21"/>
                <w:highlight w:val="none"/>
              </w:rPr>
              <w:t>质量要求</w:t>
            </w:r>
          </w:p>
        </w:tc>
        <w:tc>
          <w:tcPr>
            <w:tcW w:w="6379" w:type="dxa"/>
            <w:tcBorders>
              <w:tl2br w:val="nil"/>
              <w:tr2bl w:val="nil"/>
            </w:tcBorders>
            <w:vAlign w:val="center"/>
          </w:tcPr>
          <w:p w14:paraId="6736EE9A">
            <w:pPr>
              <w:rPr>
                <w:rFonts w:ascii="宋体" w:hAnsi="宋体" w:cs="宋体"/>
                <w:color w:val="auto"/>
                <w:sz w:val="21"/>
                <w:szCs w:val="21"/>
                <w:highlight w:val="none"/>
              </w:rPr>
            </w:pPr>
            <w:r>
              <w:rPr>
                <w:rFonts w:hint="eastAsia" w:ascii="宋体" w:hAnsi="宋体" w:cs="宋体"/>
                <w:color w:val="auto"/>
                <w:sz w:val="20"/>
                <w:highlight w:val="none"/>
              </w:rPr>
              <w:t>满足招标人相关要求。</w:t>
            </w:r>
          </w:p>
        </w:tc>
      </w:tr>
      <w:tr w14:paraId="3D5B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vAlign w:val="center"/>
          </w:tcPr>
          <w:p w14:paraId="06BEC3F7">
            <w:pPr>
              <w:jc w:val="center"/>
              <w:rPr>
                <w:rFonts w:ascii="宋体" w:hAnsi="宋体" w:cs="宋体"/>
                <w:color w:val="auto"/>
                <w:sz w:val="21"/>
                <w:szCs w:val="21"/>
                <w:highlight w:val="none"/>
              </w:rPr>
            </w:pPr>
            <w:r>
              <w:rPr>
                <w:rFonts w:hint="eastAsia" w:ascii="宋体" w:hAnsi="宋体" w:cs="宋体"/>
                <w:color w:val="auto"/>
                <w:sz w:val="21"/>
                <w:szCs w:val="21"/>
                <w:highlight w:val="none"/>
              </w:rPr>
              <w:t>1.4.1</w:t>
            </w:r>
          </w:p>
        </w:tc>
        <w:tc>
          <w:tcPr>
            <w:tcW w:w="2172" w:type="dxa"/>
            <w:tcBorders>
              <w:tl2br w:val="nil"/>
              <w:tr2bl w:val="nil"/>
            </w:tcBorders>
            <w:vAlign w:val="center"/>
          </w:tcPr>
          <w:p w14:paraId="2852CD5E">
            <w:pPr>
              <w:jc w:val="center"/>
              <w:rPr>
                <w:rFonts w:ascii="宋体" w:hAnsi="宋体" w:cs="宋体"/>
                <w:color w:val="auto"/>
                <w:sz w:val="21"/>
                <w:szCs w:val="21"/>
                <w:highlight w:val="none"/>
              </w:rPr>
            </w:pPr>
            <w:r>
              <w:rPr>
                <w:rFonts w:hint="eastAsia" w:ascii="宋体" w:hAnsi="宋体" w:cs="宋体"/>
                <w:color w:val="auto"/>
                <w:sz w:val="21"/>
                <w:szCs w:val="21"/>
                <w:highlight w:val="none"/>
              </w:rPr>
              <w:t>比选人资质条件、能力和信誉</w:t>
            </w:r>
          </w:p>
        </w:tc>
        <w:tc>
          <w:tcPr>
            <w:tcW w:w="6379" w:type="dxa"/>
            <w:tcBorders>
              <w:tl2br w:val="nil"/>
              <w:tr2bl w:val="nil"/>
            </w:tcBorders>
            <w:vAlign w:val="center"/>
          </w:tcPr>
          <w:p w14:paraId="7CDE1321">
            <w:pPr>
              <w:jc w:val="both"/>
              <w:rPr>
                <w:rFonts w:ascii="宋体" w:hAnsi="宋体" w:cs="宋体"/>
                <w:color w:val="auto"/>
                <w:sz w:val="21"/>
                <w:szCs w:val="21"/>
                <w:highlight w:val="none"/>
              </w:rPr>
            </w:pPr>
            <w:r>
              <w:rPr>
                <w:rFonts w:hint="eastAsia" w:ascii="宋体" w:hAnsi="宋体" w:cs="宋体"/>
                <w:color w:val="auto"/>
                <w:sz w:val="21"/>
                <w:szCs w:val="21"/>
                <w:highlight w:val="none"/>
              </w:rPr>
              <w:t xml:space="preserve">（1）资质要求：见本章附录 1 </w:t>
            </w:r>
          </w:p>
          <w:p w14:paraId="707B411F">
            <w:pPr>
              <w:jc w:val="both"/>
              <w:rPr>
                <w:rFonts w:ascii="宋体" w:hAnsi="宋体" w:cs="宋体"/>
                <w:color w:val="auto"/>
                <w:sz w:val="21"/>
                <w:szCs w:val="21"/>
                <w:highlight w:val="none"/>
              </w:rPr>
            </w:pPr>
            <w:r>
              <w:rPr>
                <w:rFonts w:hint="eastAsia" w:ascii="宋体" w:hAnsi="宋体" w:cs="宋体"/>
                <w:color w:val="auto"/>
                <w:sz w:val="21"/>
                <w:szCs w:val="21"/>
                <w:highlight w:val="none"/>
              </w:rPr>
              <w:t>（2）业绩要求：见本章附录 2</w:t>
            </w:r>
          </w:p>
          <w:p w14:paraId="5111A0AE">
            <w:pPr>
              <w:jc w:val="both"/>
              <w:rPr>
                <w:rFonts w:ascii="宋体" w:hAnsi="宋体" w:cs="宋体"/>
                <w:color w:val="auto"/>
                <w:sz w:val="21"/>
                <w:szCs w:val="21"/>
                <w:highlight w:val="none"/>
              </w:rPr>
            </w:pPr>
            <w:r>
              <w:rPr>
                <w:rFonts w:hint="eastAsia" w:ascii="宋体" w:hAnsi="宋体" w:cs="宋体"/>
                <w:color w:val="auto"/>
                <w:sz w:val="21"/>
                <w:szCs w:val="21"/>
                <w:highlight w:val="none"/>
              </w:rPr>
              <w:t>（3）信誉要求：见本章附录 3</w:t>
            </w:r>
          </w:p>
          <w:p w14:paraId="093DC968">
            <w:pPr>
              <w:jc w:val="both"/>
              <w:rPr>
                <w:rFonts w:ascii="宋体" w:hAnsi="宋体" w:cs="宋体"/>
                <w:color w:val="auto"/>
                <w:sz w:val="21"/>
                <w:szCs w:val="21"/>
                <w:highlight w:val="none"/>
              </w:rPr>
            </w:pPr>
            <w:r>
              <w:rPr>
                <w:rFonts w:hint="eastAsia" w:ascii="宋体" w:hAnsi="宋体" w:cs="宋体"/>
                <w:color w:val="auto"/>
                <w:sz w:val="21"/>
                <w:szCs w:val="21"/>
                <w:highlight w:val="none"/>
              </w:rPr>
              <w:t>（4）其他要求：见本章附录 4</w:t>
            </w:r>
          </w:p>
        </w:tc>
      </w:tr>
      <w:tr w14:paraId="0FA8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12" w:type="dxa"/>
            <w:tcBorders>
              <w:tl2br w:val="nil"/>
              <w:tr2bl w:val="nil"/>
            </w:tcBorders>
            <w:vAlign w:val="center"/>
          </w:tcPr>
          <w:p w14:paraId="250D5E11">
            <w:pPr>
              <w:jc w:val="center"/>
              <w:rPr>
                <w:rFonts w:ascii="宋体" w:hAnsi="宋体" w:cs="宋体"/>
                <w:color w:val="auto"/>
                <w:sz w:val="21"/>
                <w:szCs w:val="21"/>
                <w:highlight w:val="none"/>
              </w:rPr>
            </w:pPr>
            <w:r>
              <w:rPr>
                <w:rFonts w:hint="eastAsia" w:ascii="宋体" w:hAnsi="宋体" w:cs="宋体"/>
                <w:color w:val="auto"/>
                <w:sz w:val="21"/>
                <w:szCs w:val="21"/>
                <w:highlight w:val="none"/>
              </w:rPr>
              <w:t>1.4.2</w:t>
            </w:r>
          </w:p>
        </w:tc>
        <w:tc>
          <w:tcPr>
            <w:tcW w:w="2172" w:type="dxa"/>
            <w:tcBorders>
              <w:tl2br w:val="nil"/>
              <w:tr2bl w:val="nil"/>
            </w:tcBorders>
            <w:vAlign w:val="center"/>
          </w:tcPr>
          <w:p w14:paraId="25A3F50D">
            <w:pPr>
              <w:jc w:val="both"/>
              <w:rPr>
                <w:rFonts w:ascii="宋体" w:hAnsi="宋体" w:cs="宋体"/>
                <w:color w:val="auto"/>
                <w:sz w:val="21"/>
                <w:szCs w:val="21"/>
                <w:highlight w:val="none"/>
              </w:rPr>
            </w:pPr>
            <w:r>
              <w:rPr>
                <w:rFonts w:hint="eastAsia" w:ascii="宋体" w:hAnsi="宋体" w:cs="宋体"/>
                <w:color w:val="auto"/>
                <w:sz w:val="21"/>
                <w:szCs w:val="21"/>
                <w:highlight w:val="none"/>
              </w:rPr>
              <w:t>是否接受联合体比选</w:t>
            </w:r>
          </w:p>
        </w:tc>
        <w:tc>
          <w:tcPr>
            <w:tcW w:w="6379" w:type="dxa"/>
            <w:tcBorders>
              <w:tl2br w:val="nil"/>
              <w:tr2bl w:val="nil"/>
            </w:tcBorders>
            <w:vAlign w:val="center"/>
          </w:tcPr>
          <w:p w14:paraId="088868E8">
            <w:pPr>
              <w:jc w:val="both"/>
              <w:rPr>
                <w:rFonts w:ascii="宋体" w:hAnsi="宋体" w:cs="宋体"/>
                <w:color w:val="auto"/>
                <w:highlight w:val="none"/>
              </w:rPr>
            </w:pPr>
            <w:r>
              <w:rPr>
                <w:rFonts w:hint="eastAsia" w:ascii="宋体" w:hAnsi="宋体" w:cs="宋体"/>
                <w:color w:val="auto"/>
                <w:sz w:val="21"/>
                <w:szCs w:val="21"/>
                <w:highlight w:val="none"/>
              </w:rPr>
              <w:t>不接受</w:t>
            </w:r>
          </w:p>
        </w:tc>
      </w:tr>
      <w:tr w14:paraId="7E57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12" w:type="dxa"/>
            <w:tcBorders>
              <w:tl2br w:val="nil"/>
              <w:tr2bl w:val="nil"/>
            </w:tcBorders>
            <w:vAlign w:val="center"/>
          </w:tcPr>
          <w:p w14:paraId="6915BCE4">
            <w:pPr>
              <w:jc w:val="center"/>
              <w:rPr>
                <w:rFonts w:ascii="宋体" w:hAnsi="宋体" w:cs="宋体"/>
                <w:color w:val="auto"/>
                <w:sz w:val="21"/>
                <w:szCs w:val="21"/>
                <w:highlight w:val="none"/>
              </w:rPr>
            </w:pPr>
            <w:r>
              <w:rPr>
                <w:rFonts w:hint="eastAsia" w:ascii="宋体" w:hAnsi="宋体" w:cs="宋体"/>
                <w:color w:val="auto"/>
                <w:sz w:val="21"/>
                <w:szCs w:val="21"/>
                <w:highlight w:val="none"/>
              </w:rPr>
              <w:t>1.4.3</w:t>
            </w:r>
          </w:p>
        </w:tc>
        <w:tc>
          <w:tcPr>
            <w:tcW w:w="2172" w:type="dxa"/>
            <w:tcBorders>
              <w:tl2br w:val="nil"/>
              <w:tr2bl w:val="nil"/>
            </w:tcBorders>
            <w:vAlign w:val="center"/>
          </w:tcPr>
          <w:p w14:paraId="31F72038">
            <w:pPr>
              <w:jc w:val="center"/>
              <w:rPr>
                <w:rFonts w:ascii="宋体" w:hAnsi="宋体" w:cs="宋体"/>
                <w:color w:val="auto"/>
                <w:sz w:val="21"/>
                <w:szCs w:val="21"/>
                <w:highlight w:val="none"/>
              </w:rPr>
            </w:pPr>
            <w:r>
              <w:rPr>
                <w:rFonts w:hint="eastAsia" w:ascii="宋体" w:hAnsi="宋体" w:cs="宋体"/>
                <w:color w:val="auto"/>
                <w:sz w:val="21"/>
                <w:szCs w:val="21"/>
                <w:highlight w:val="none"/>
              </w:rPr>
              <w:t>比选人不得存在的情形</w:t>
            </w:r>
          </w:p>
        </w:tc>
        <w:tc>
          <w:tcPr>
            <w:tcW w:w="6379" w:type="dxa"/>
            <w:tcBorders>
              <w:tl2br w:val="nil"/>
              <w:tr2bl w:val="nil"/>
            </w:tcBorders>
            <w:vAlign w:val="center"/>
          </w:tcPr>
          <w:p w14:paraId="21850096">
            <w:pPr>
              <w:jc w:val="both"/>
              <w:rPr>
                <w:rFonts w:ascii="宋体" w:hAnsi="宋体" w:cs="宋体"/>
                <w:color w:val="auto"/>
                <w:sz w:val="21"/>
                <w:szCs w:val="21"/>
                <w:highlight w:val="none"/>
              </w:rPr>
            </w:pPr>
            <w:r>
              <w:rPr>
                <w:rFonts w:hint="eastAsia" w:ascii="宋体" w:hAnsi="宋体" w:cs="宋体"/>
                <w:color w:val="auto"/>
                <w:sz w:val="21"/>
                <w:szCs w:val="21"/>
                <w:highlight w:val="none"/>
              </w:rPr>
              <w:t>详见招选公告</w:t>
            </w:r>
          </w:p>
        </w:tc>
      </w:tr>
      <w:tr w14:paraId="2CA9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12" w:type="dxa"/>
            <w:tcBorders>
              <w:tl2br w:val="nil"/>
              <w:tr2bl w:val="nil"/>
            </w:tcBorders>
            <w:vAlign w:val="center"/>
          </w:tcPr>
          <w:p w14:paraId="0E15A2D4">
            <w:pPr>
              <w:jc w:val="center"/>
              <w:rPr>
                <w:rFonts w:ascii="宋体" w:hAnsi="宋体" w:cs="宋体"/>
                <w:color w:val="auto"/>
                <w:sz w:val="21"/>
                <w:szCs w:val="21"/>
                <w:highlight w:val="none"/>
              </w:rPr>
            </w:pPr>
            <w:r>
              <w:rPr>
                <w:rFonts w:hint="eastAsia" w:ascii="宋体" w:hAnsi="宋体" w:cs="宋体"/>
                <w:color w:val="auto"/>
                <w:sz w:val="21"/>
                <w:szCs w:val="21"/>
                <w:highlight w:val="none"/>
              </w:rPr>
              <w:t>1.5.1</w:t>
            </w:r>
          </w:p>
        </w:tc>
        <w:tc>
          <w:tcPr>
            <w:tcW w:w="2172" w:type="dxa"/>
            <w:tcBorders>
              <w:tl2br w:val="nil"/>
              <w:tr2bl w:val="nil"/>
            </w:tcBorders>
            <w:vAlign w:val="center"/>
          </w:tcPr>
          <w:p w14:paraId="3F9985D3">
            <w:pPr>
              <w:jc w:val="center"/>
              <w:rPr>
                <w:rFonts w:ascii="宋体" w:hAnsi="宋体" w:cs="宋体"/>
                <w:color w:val="auto"/>
                <w:sz w:val="21"/>
                <w:szCs w:val="21"/>
                <w:highlight w:val="none"/>
              </w:rPr>
            </w:pPr>
            <w:r>
              <w:rPr>
                <w:rFonts w:hint="eastAsia" w:ascii="宋体" w:hAnsi="宋体" w:cs="宋体"/>
                <w:color w:val="auto"/>
                <w:sz w:val="21"/>
                <w:szCs w:val="21"/>
                <w:highlight w:val="none"/>
              </w:rPr>
              <w:t>招选预备会</w:t>
            </w:r>
          </w:p>
        </w:tc>
        <w:tc>
          <w:tcPr>
            <w:tcW w:w="6379" w:type="dxa"/>
            <w:tcBorders>
              <w:tl2br w:val="nil"/>
              <w:tr2bl w:val="nil"/>
            </w:tcBorders>
            <w:vAlign w:val="center"/>
          </w:tcPr>
          <w:p w14:paraId="5DC2AAFB">
            <w:pPr>
              <w:jc w:val="both"/>
              <w:rPr>
                <w:rFonts w:ascii="宋体" w:hAnsi="宋体" w:cs="宋体"/>
                <w:color w:val="auto"/>
                <w:sz w:val="21"/>
                <w:szCs w:val="21"/>
                <w:highlight w:val="none"/>
              </w:rPr>
            </w:pPr>
            <w:r>
              <w:rPr>
                <w:rFonts w:hint="eastAsia" w:ascii="宋体" w:hAnsi="宋体" w:cs="宋体"/>
                <w:color w:val="auto"/>
                <w:sz w:val="21"/>
                <w:szCs w:val="21"/>
                <w:highlight w:val="none"/>
              </w:rPr>
              <w:t>不召开</w:t>
            </w:r>
          </w:p>
        </w:tc>
      </w:tr>
      <w:tr w14:paraId="24FC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12" w:type="dxa"/>
            <w:tcBorders>
              <w:tl2br w:val="nil"/>
              <w:tr2bl w:val="nil"/>
            </w:tcBorders>
            <w:vAlign w:val="center"/>
          </w:tcPr>
          <w:p w14:paraId="4FFD6D23">
            <w:pPr>
              <w:jc w:val="center"/>
              <w:rPr>
                <w:rFonts w:ascii="宋体" w:hAnsi="宋体" w:cs="宋体"/>
                <w:color w:val="auto"/>
                <w:sz w:val="21"/>
                <w:szCs w:val="21"/>
                <w:highlight w:val="none"/>
              </w:rPr>
            </w:pPr>
            <w:r>
              <w:rPr>
                <w:rFonts w:hint="eastAsia" w:ascii="宋体" w:hAnsi="宋体" w:cs="宋体"/>
                <w:color w:val="auto"/>
                <w:sz w:val="21"/>
                <w:szCs w:val="21"/>
                <w:highlight w:val="none"/>
              </w:rPr>
              <w:t>1.6.1</w:t>
            </w:r>
          </w:p>
        </w:tc>
        <w:tc>
          <w:tcPr>
            <w:tcW w:w="2172" w:type="dxa"/>
            <w:tcBorders>
              <w:tl2br w:val="nil"/>
              <w:tr2bl w:val="nil"/>
            </w:tcBorders>
            <w:vAlign w:val="center"/>
          </w:tcPr>
          <w:p w14:paraId="1BCA3FC0">
            <w:pPr>
              <w:jc w:val="center"/>
              <w:rPr>
                <w:rFonts w:ascii="宋体" w:hAnsi="宋体" w:cs="宋体"/>
                <w:color w:val="auto"/>
                <w:sz w:val="21"/>
                <w:szCs w:val="21"/>
                <w:highlight w:val="none"/>
              </w:rPr>
            </w:pPr>
            <w:r>
              <w:rPr>
                <w:rFonts w:hint="eastAsia" w:ascii="宋体" w:hAnsi="宋体" w:cs="宋体"/>
                <w:color w:val="auto"/>
                <w:sz w:val="21"/>
                <w:szCs w:val="21"/>
                <w:highlight w:val="none"/>
              </w:rPr>
              <w:t>分包</w:t>
            </w:r>
          </w:p>
        </w:tc>
        <w:tc>
          <w:tcPr>
            <w:tcW w:w="6379" w:type="dxa"/>
            <w:tcBorders>
              <w:tl2br w:val="nil"/>
              <w:tr2bl w:val="nil"/>
            </w:tcBorders>
            <w:vAlign w:val="center"/>
          </w:tcPr>
          <w:p w14:paraId="4F349BFE">
            <w:pPr>
              <w:jc w:val="both"/>
              <w:rPr>
                <w:rFonts w:ascii="宋体" w:hAnsi="宋体" w:cs="宋体"/>
                <w:color w:val="auto"/>
                <w:sz w:val="21"/>
                <w:szCs w:val="21"/>
                <w:highlight w:val="none"/>
              </w:rPr>
            </w:pPr>
            <w:r>
              <w:rPr>
                <w:rFonts w:hint="eastAsia" w:ascii="宋体" w:hAnsi="宋体" w:cs="宋体"/>
                <w:color w:val="auto"/>
                <w:sz w:val="21"/>
                <w:szCs w:val="21"/>
                <w:highlight w:val="none"/>
              </w:rPr>
              <w:t>不允许</w:t>
            </w:r>
          </w:p>
        </w:tc>
      </w:tr>
      <w:tr w14:paraId="55CC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12" w:type="dxa"/>
            <w:tcBorders>
              <w:tl2br w:val="nil"/>
              <w:tr2bl w:val="nil"/>
            </w:tcBorders>
            <w:vAlign w:val="center"/>
          </w:tcPr>
          <w:p w14:paraId="11F19736">
            <w:pPr>
              <w:jc w:val="center"/>
              <w:rPr>
                <w:rFonts w:ascii="宋体" w:hAnsi="宋体" w:cs="宋体"/>
                <w:color w:val="auto"/>
                <w:sz w:val="21"/>
                <w:szCs w:val="21"/>
                <w:highlight w:val="none"/>
              </w:rPr>
            </w:pPr>
            <w:r>
              <w:rPr>
                <w:rFonts w:hint="eastAsia" w:ascii="宋体" w:hAnsi="宋体" w:cs="宋体"/>
                <w:color w:val="auto"/>
                <w:sz w:val="21"/>
                <w:szCs w:val="21"/>
                <w:highlight w:val="none"/>
              </w:rPr>
              <w:t>1.7.1</w:t>
            </w:r>
          </w:p>
        </w:tc>
        <w:tc>
          <w:tcPr>
            <w:tcW w:w="2172" w:type="dxa"/>
            <w:tcBorders>
              <w:tl2br w:val="nil"/>
              <w:tr2bl w:val="nil"/>
            </w:tcBorders>
            <w:vAlign w:val="center"/>
          </w:tcPr>
          <w:p w14:paraId="4220FCAF">
            <w:pPr>
              <w:jc w:val="center"/>
              <w:rPr>
                <w:rFonts w:ascii="宋体" w:hAnsi="宋体" w:cs="宋体"/>
                <w:color w:val="auto"/>
                <w:sz w:val="21"/>
                <w:szCs w:val="21"/>
                <w:highlight w:val="none"/>
              </w:rPr>
            </w:pPr>
            <w:r>
              <w:rPr>
                <w:rFonts w:hint="eastAsia" w:ascii="宋体" w:hAnsi="宋体" w:cs="宋体"/>
                <w:color w:val="auto"/>
                <w:sz w:val="21"/>
                <w:szCs w:val="21"/>
                <w:highlight w:val="none"/>
              </w:rPr>
              <w:t>实质性要求和条件</w:t>
            </w:r>
          </w:p>
        </w:tc>
        <w:tc>
          <w:tcPr>
            <w:tcW w:w="6379" w:type="dxa"/>
            <w:tcBorders>
              <w:tl2br w:val="nil"/>
              <w:tr2bl w:val="nil"/>
            </w:tcBorders>
            <w:vAlign w:val="center"/>
          </w:tcPr>
          <w:p w14:paraId="0DAB1AAD">
            <w:pPr>
              <w:jc w:val="both"/>
              <w:rPr>
                <w:rFonts w:ascii="宋体" w:hAnsi="宋体" w:cs="宋体"/>
                <w:color w:val="auto"/>
                <w:sz w:val="21"/>
                <w:szCs w:val="21"/>
                <w:highlight w:val="none"/>
              </w:rPr>
            </w:pPr>
            <w:r>
              <w:rPr>
                <w:rFonts w:hint="eastAsia" w:ascii="宋体" w:hAnsi="宋体" w:cs="宋体"/>
                <w:color w:val="auto"/>
                <w:sz w:val="21"/>
                <w:szCs w:val="21"/>
                <w:highlight w:val="none"/>
              </w:rPr>
              <w:t>详见招选办法前附表</w:t>
            </w:r>
          </w:p>
        </w:tc>
      </w:tr>
      <w:tr w14:paraId="5C04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vAlign w:val="center"/>
          </w:tcPr>
          <w:p w14:paraId="6F2499D9">
            <w:pPr>
              <w:jc w:val="center"/>
              <w:rPr>
                <w:rFonts w:ascii="宋体" w:hAnsi="宋体" w:cs="宋体"/>
                <w:color w:val="auto"/>
                <w:sz w:val="21"/>
                <w:szCs w:val="21"/>
                <w:highlight w:val="none"/>
              </w:rPr>
            </w:pPr>
            <w:r>
              <w:rPr>
                <w:rFonts w:hint="eastAsia" w:ascii="宋体" w:hAnsi="宋体" w:cs="宋体"/>
                <w:color w:val="auto"/>
                <w:sz w:val="21"/>
                <w:szCs w:val="21"/>
                <w:highlight w:val="none"/>
              </w:rPr>
              <w:t>1.7.2</w:t>
            </w:r>
          </w:p>
        </w:tc>
        <w:tc>
          <w:tcPr>
            <w:tcW w:w="2172" w:type="dxa"/>
            <w:tcBorders>
              <w:tl2br w:val="nil"/>
              <w:tr2bl w:val="nil"/>
            </w:tcBorders>
            <w:vAlign w:val="center"/>
          </w:tcPr>
          <w:p w14:paraId="5212A700">
            <w:pPr>
              <w:jc w:val="center"/>
              <w:rPr>
                <w:rFonts w:ascii="宋体" w:hAnsi="宋体" w:cs="宋体"/>
                <w:color w:val="auto"/>
                <w:sz w:val="21"/>
                <w:szCs w:val="21"/>
                <w:highlight w:val="none"/>
              </w:rPr>
            </w:pPr>
            <w:r>
              <w:rPr>
                <w:rFonts w:hint="eastAsia" w:ascii="宋体" w:hAnsi="宋体" w:cs="宋体"/>
                <w:color w:val="auto"/>
                <w:sz w:val="21"/>
                <w:szCs w:val="21"/>
                <w:highlight w:val="none"/>
              </w:rPr>
              <w:t>其他可以被接受的技术支持资料</w:t>
            </w:r>
          </w:p>
        </w:tc>
        <w:tc>
          <w:tcPr>
            <w:tcW w:w="6379" w:type="dxa"/>
            <w:tcBorders>
              <w:tl2br w:val="nil"/>
              <w:tr2bl w:val="nil"/>
            </w:tcBorders>
            <w:vAlign w:val="center"/>
          </w:tcPr>
          <w:p w14:paraId="09D59C00">
            <w:pPr>
              <w:jc w:val="both"/>
              <w:rPr>
                <w:rFonts w:ascii="宋体" w:hAnsi="宋体" w:cs="宋体"/>
                <w:color w:val="auto"/>
                <w:sz w:val="21"/>
                <w:szCs w:val="21"/>
                <w:highlight w:val="none"/>
              </w:rPr>
            </w:pPr>
            <w:r>
              <w:rPr>
                <w:rFonts w:hint="eastAsia" w:ascii="宋体" w:hAnsi="宋体" w:cs="宋体"/>
                <w:color w:val="auto"/>
                <w:sz w:val="21"/>
                <w:szCs w:val="21"/>
                <w:highlight w:val="none"/>
              </w:rPr>
              <w:t>纸质样本或其它纸质技术指标文件</w:t>
            </w:r>
          </w:p>
        </w:tc>
      </w:tr>
      <w:tr w14:paraId="7F23F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912" w:type="dxa"/>
            <w:tcBorders>
              <w:tl2br w:val="nil"/>
              <w:tr2bl w:val="nil"/>
            </w:tcBorders>
            <w:vAlign w:val="center"/>
          </w:tcPr>
          <w:p w14:paraId="1DB77766">
            <w:pPr>
              <w:jc w:val="center"/>
              <w:rPr>
                <w:rFonts w:ascii="宋体" w:hAnsi="宋体" w:cs="宋体"/>
                <w:color w:val="auto"/>
                <w:sz w:val="21"/>
                <w:szCs w:val="21"/>
                <w:highlight w:val="none"/>
              </w:rPr>
            </w:pPr>
            <w:r>
              <w:rPr>
                <w:rFonts w:hint="eastAsia" w:ascii="宋体" w:hAnsi="宋体" w:cs="宋体"/>
                <w:color w:val="auto"/>
                <w:sz w:val="21"/>
                <w:szCs w:val="21"/>
                <w:highlight w:val="none"/>
              </w:rPr>
              <w:t>1.8.1</w:t>
            </w:r>
          </w:p>
        </w:tc>
        <w:tc>
          <w:tcPr>
            <w:tcW w:w="2172" w:type="dxa"/>
            <w:tcBorders>
              <w:tl2br w:val="nil"/>
              <w:tr2bl w:val="nil"/>
            </w:tcBorders>
            <w:vAlign w:val="center"/>
          </w:tcPr>
          <w:p w14:paraId="7391F856">
            <w:pPr>
              <w:jc w:val="center"/>
              <w:rPr>
                <w:rFonts w:ascii="宋体" w:hAnsi="宋体" w:cs="宋体"/>
                <w:color w:val="auto"/>
                <w:sz w:val="21"/>
                <w:szCs w:val="21"/>
                <w:highlight w:val="none"/>
              </w:rPr>
            </w:pPr>
            <w:r>
              <w:rPr>
                <w:rFonts w:hint="eastAsia" w:ascii="宋体" w:hAnsi="宋体" w:cs="宋体"/>
                <w:color w:val="auto"/>
                <w:sz w:val="21"/>
                <w:szCs w:val="21"/>
                <w:highlight w:val="none"/>
              </w:rPr>
              <w:t>偏差</w:t>
            </w:r>
          </w:p>
        </w:tc>
        <w:tc>
          <w:tcPr>
            <w:tcW w:w="6379" w:type="dxa"/>
            <w:tcBorders>
              <w:tl2br w:val="nil"/>
              <w:tr2bl w:val="nil"/>
            </w:tcBorders>
            <w:vAlign w:val="center"/>
          </w:tcPr>
          <w:p w14:paraId="21F10C1A">
            <w:pPr>
              <w:rPr>
                <w:rFonts w:ascii="宋体" w:hAnsi="宋体" w:cs="宋体"/>
                <w:color w:val="auto"/>
                <w:sz w:val="21"/>
                <w:szCs w:val="21"/>
                <w:highlight w:val="none"/>
              </w:rPr>
            </w:pPr>
            <w:r>
              <w:rPr>
                <w:rFonts w:hint="eastAsia" w:ascii="宋体" w:hAnsi="宋体" w:cs="宋体"/>
                <w:color w:val="auto"/>
                <w:sz w:val="21"/>
                <w:szCs w:val="21"/>
                <w:highlight w:val="none"/>
              </w:rPr>
              <w:t>1.重大偏差：比选文件存在第三章“招选办法前附表 ”中所列任一否决招选情形的，均属于重大偏差，比选人的比选将被否决。</w:t>
            </w:r>
          </w:p>
          <w:p w14:paraId="5772B99B">
            <w:pPr>
              <w:rPr>
                <w:color w:val="auto"/>
                <w:spacing w:val="9"/>
                <w:highlight w:val="none"/>
              </w:rPr>
            </w:pPr>
            <w:r>
              <w:rPr>
                <w:rFonts w:hint="eastAsia" w:ascii="宋体" w:hAnsi="宋体" w:cs="宋体"/>
                <w:color w:val="auto"/>
                <w:sz w:val="21"/>
                <w:szCs w:val="21"/>
                <w:highlight w:val="none"/>
              </w:rPr>
              <w:t>2.细微偏差：比选文件存在第三章“招选办法 ”中所列任一否决招选情形以外的情况均视为细微偏差。</w:t>
            </w:r>
          </w:p>
        </w:tc>
      </w:tr>
      <w:tr w14:paraId="7F6F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12" w:type="dxa"/>
            <w:tcBorders>
              <w:tl2br w:val="nil"/>
              <w:tr2bl w:val="nil"/>
            </w:tcBorders>
            <w:vAlign w:val="center"/>
          </w:tcPr>
          <w:p w14:paraId="19E3A9C3">
            <w:pPr>
              <w:jc w:val="center"/>
              <w:rPr>
                <w:rFonts w:ascii="宋体" w:hAnsi="宋体" w:cs="宋体"/>
                <w:color w:val="auto"/>
                <w:sz w:val="21"/>
                <w:szCs w:val="21"/>
                <w:highlight w:val="none"/>
              </w:rPr>
            </w:pPr>
            <w:r>
              <w:rPr>
                <w:rFonts w:hint="eastAsia" w:ascii="宋体" w:hAnsi="宋体" w:cs="宋体"/>
                <w:color w:val="auto"/>
                <w:sz w:val="21"/>
                <w:szCs w:val="21"/>
                <w:highlight w:val="none"/>
              </w:rPr>
              <w:t>2.1</w:t>
            </w:r>
          </w:p>
        </w:tc>
        <w:tc>
          <w:tcPr>
            <w:tcW w:w="2172" w:type="dxa"/>
            <w:tcBorders>
              <w:tl2br w:val="nil"/>
              <w:tr2bl w:val="nil"/>
            </w:tcBorders>
            <w:vAlign w:val="center"/>
          </w:tcPr>
          <w:p w14:paraId="5508C078">
            <w:pPr>
              <w:jc w:val="center"/>
              <w:rPr>
                <w:rFonts w:ascii="宋体" w:hAnsi="宋体" w:cs="宋体"/>
                <w:color w:val="auto"/>
                <w:sz w:val="21"/>
                <w:szCs w:val="21"/>
                <w:highlight w:val="none"/>
              </w:rPr>
            </w:pPr>
            <w:r>
              <w:rPr>
                <w:rFonts w:hint="eastAsia" w:ascii="宋体" w:hAnsi="宋体" w:cs="宋体"/>
                <w:color w:val="auto"/>
                <w:sz w:val="21"/>
                <w:szCs w:val="21"/>
                <w:highlight w:val="none"/>
              </w:rPr>
              <w:t>构成招选文件的其他资料</w:t>
            </w:r>
          </w:p>
        </w:tc>
        <w:tc>
          <w:tcPr>
            <w:tcW w:w="6379" w:type="dxa"/>
            <w:tcBorders>
              <w:tl2br w:val="nil"/>
              <w:tr2bl w:val="nil"/>
            </w:tcBorders>
            <w:vAlign w:val="center"/>
          </w:tcPr>
          <w:p w14:paraId="1BED0D97">
            <w:pPr>
              <w:jc w:val="both"/>
              <w:rPr>
                <w:rFonts w:ascii="宋体" w:hAnsi="宋体" w:cs="宋体"/>
                <w:color w:val="auto"/>
                <w:sz w:val="21"/>
                <w:szCs w:val="21"/>
                <w:highlight w:val="none"/>
              </w:rPr>
            </w:pPr>
            <w:r>
              <w:rPr>
                <w:rFonts w:hint="eastAsia" w:ascii="宋体" w:hAnsi="宋体" w:cs="宋体"/>
                <w:color w:val="auto"/>
                <w:sz w:val="21"/>
                <w:szCs w:val="21"/>
                <w:highlight w:val="none"/>
              </w:rPr>
              <w:t>招选文件补遗书（若有）</w:t>
            </w:r>
          </w:p>
        </w:tc>
      </w:tr>
      <w:tr w14:paraId="23A9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12" w:type="dxa"/>
            <w:tcBorders>
              <w:tl2br w:val="nil"/>
              <w:tr2bl w:val="nil"/>
            </w:tcBorders>
            <w:vAlign w:val="center"/>
          </w:tcPr>
          <w:p w14:paraId="3B08AD5F">
            <w:pPr>
              <w:jc w:val="center"/>
              <w:rPr>
                <w:rFonts w:ascii="宋体" w:hAnsi="宋体" w:cs="宋体"/>
                <w:color w:val="auto"/>
                <w:sz w:val="21"/>
                <w:szCs w:val="21"/>
                <w:highlight w:val="none"/>
              </w:rPr>
            </w:pPr>
            <w:r>
              <w:rPr>
                <w:rFonts w:hint="eastAsia" w:ascii="宋体" w:hAnsi="宋体" w:cs="宋体"/>
                <w:color w:val="auto"/>
                <w:sz w:val="21"/>
                <w:szCs w:val="21"/>
                <w:highlight w:val="none"/>
              </w:rPr>
              <w:t>2.2.1</w:t>
            </w:r>
          </w:p>
        </w:tc>
        <w:tc>
          <w:tcPr>
            <w:tcW w:w="2172" w:type="dxa"/>
            <w:tcBorders>
              <w:tl2br w:val="nil"/>
              <w:tr2bl w:val="nil"/>
            </w:tcBorders>
            <w:vAlign w:val="center"/>
          </w:tcPr>
          <w:p w14:paraId="447B4EF1">
            <w:pPr>
              <w:jc w:val="center"/>
              <w:rPr>
                <w:rFonts w:ascii="宋体" w:hAnsi="宋体" w:cs="宋体"/>
                <w:color w:val="auto"/>
                <w:sz w:val="21"/>
                <w:szCs w:val="21"/>
                <w:highlight w:val="none"/>
              </w:rPr>
            </w:pPr>
            <w:r>
              <w:rPr>
                <w:rFonts w:hint="eastAsia" w:ascii="宋体" w:hAnsi="宋体" w:cs="宋体"/>
                <w:color w:val="auto"/>
                <w:sz w:val="21"/>
                <w:szCs w:val="21"/>
                <w:highlight w:val="none"/>
              </w:rPr>
              <w:t>招选人要求澄清招选文件</w:t>
            </w:r>
          </w:p>
        </w:tc>
        <w:tc>
          <w:tcPr>
            <w:tcW w:w="6379" w:type="dxa"/>
            <w:tcBorders>
              <w:tl2br w:val="nil"/>
              <w:tr2bl w:val="nil"/>
            </w:tcBorders>
            <w:vAlign w:val="center"/>
          </w:tcPr>
          <w:p w14:paraId="1C0D2FF8">
            <w:pPr>
              <w:jc w:val="both"/>
              <w:rPr>
                <w:rFonts w:ascii="宋体" w:hAnsi="宋体" w:cs="宋体"/>
                <w:color w:val="auto"/>
                <w:sz w:val="21"/>
                <w:szCs w:val="21"/>
                <w:highlight w:val="none"/>
              </w:rPr>
            </w:pPr>
            <w:r>
              <w:rPr>
                <w:rFonts w:hint="eastAsia" w:ascii="宋体" w:hAnsi="宋体" w:cs="宋体"/>
                <w:color w:val="auto"/>
                <w:sz w:val="21"/>
                <w:szCs w:val="21"/>
                <w:highlight w:val="none"/>
              </w:rPr>
              <w:t>递交比选文件截止之日2天前，可以书面形式要求澄清招选文件，且无需提供比选人的信息。</w:t>
            </w:r>
          </w:p>
        </w:tc>
      </w:tr>
      <w:tr w14:paraId="2A56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12" w:type="dxa"/>
            <w:tcBorders>
              <w:tl2br w:val="nil"/>
              <w:tr2bl w:val="nil"/>
            </w:tcBorders>
            <w:vAlign w:val="center"/>
          </w:tcPr>
          <w:p w14:paraId="20E7A46F">
            <w:pPr>
              <w:jc w:val="center"/>
              <w:rPr>
                <w:rFonts w:ascii="宋体" w:hAnsi="宋体" w:cs="宋体"/>
                <w:color w:val="auto"/>
                <w:sz w:val="21"/>
                <w:szCs w:val="21"/>
                <w:highlight w:val="none"/>
              </w:rPr>
            </w:pPr>
            <w:r>
              <w:rPr>
                <w:rFonts w:hint="eastAsia" w:ascii="宋体" w:hAnsi="宋体" w:cs="宋体"/>
                <w:color w:val="auto"/>
                <w:sz w:val="21"/>
                <w:szCs w:val="21"/>
                <w:highlight w:val="none"/>
              </w:rPr>
              <w:t>2.2.2</w:t>
            </w:r>
          </w:p>
        </w:tc>
        <w:tc>
          <w:tcPr>
            <w:tcW w:w="2172" w:type="dxa"/>
            <w:tcBorders>
              <w:tl2br w:val="nil"/>
              <w:tr2bl w:val="nil"/>
            </w:tcBorders>
            <w:vAlign w:val="center"/>
          </w:tcPr>
          <w:p w14:paraId="53624A03">
            <w:pPr>
              <w:jc w:val="center"/>
              <w:rPr>
                <w:rFonts w:ascii="宋体" w:hAnsi="宋体" w:cs="宋体"/>
                <w:color w:val="auto"/>
                <w:sz w:val="21"/>
                <w:szCs w:val="21"/>
                <w:highlight w:val="none"/>
              </w:rPr>
            </w:pPr>
            <w:r>
              <w:rPr>
                <w:rFonts w:hint="eastAsia" w:ascii="宋体" w:hAnsi="宋体" w:cs="宋体"/>
                <w:color w:val="auto"/>
                <w:sz w:val="21"/>
                <w:szCs w:val="21"/>
                <w:highlight w:val="none"/>
              </w:rPr>
              <w:t>招选文件澄清发出的形式</w:t>
            </w:r>
          </w:p>
        </w:tc>
        <w:tc>
          <w:tcPr>
            <w:tcW w:w="6379" w:type="dxa"/>
            <w:tcBorders>
              <w:tl2br w:val="nil"/>
              <w:tr2bl w:val="nil"/>
            </w:tcBorders>
            <w:vAlign w:val="center"/>
          </w:tcPr>
          <w:p w14:paraId="1B54CD52">
            <w:pPr>
              <w:jc w:val="both"/>
              <w:rPr>
                <w:rFonts w:ascii="宋体" w:hAnsi="宋体" w:cs="宋体"/>
                <w:color w:val="auto"/>
                <w:sz w:val="21"/>
                <w:szCs w:val="21"/>
                <w:highlight w:val="none"/>
              </w:rPr>
            </w:pPr>
            <w:r>
              <w:rPr>
                <w:rFonts w:hint="eastAsia" w:ascii="宋体" w:hAnsi="宋体" w:cs="宋体"/>
                <w:color w:val="auto"/>
                <w:sz w:val="21"/>
                <w:szCs w:val="21"/>
                <w:highlight w:val="none"/>
              </w:rPr>
              <w:t>招选人在比选截止日2天前，将以补遗书形式对招选文件进行澄清，补遗书公布在宜泸宜叙公司官网（http://www.scylgsgl.com/）上，由比选人自行下载。比选人应在比选期间实时关注上述网站，并及时下载相关内容，招选人不再另行通知。如有问题或疑问，应及时与招选人联系；逾期未联系的，招选人视为比选人没有任何问题和疑问，或是已收到或默认已收到，否则造成的一切后果由比选人负责。</w:t>
            </w:r>
          </w:p>
        </w:tc>
      </w:tr>
      <w:tr w14:paraId="4B52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vAlign w:val="center"/>
          </w:tcPr>
          <w:p w14:paraId="490879FD">
            <w:pPr>
              <w:jc w:val="center"/>
              <w:rPr>
                <w:rFonts w:ascii="宋体" w:hAnsi="宋体" w:cs="宋体"/>
                <w:color w:val="auto"/>
                <w:sz w:val="21"/>
                <w:szCs w:val="21"/>
                <w:highlight w:val="none"/>
              </w:rPr>
            </w:pPr>
            <w:r>
              <w:rPr>
                <w:rFonts w:hint="eastAsia" w:ascii="宋体" w:hAnsi="宋体" w:cs="宋体"/>
                <w:color w:val="auto"/>
                <w:sz w:val="21"/>
                <w:szCs w:val="21"/>
                <w:highlight w:val="none"/>
              </w:rPr>
              <w:t>2.2.3</w:t>
            </w:r>
          </w:p>
        </w:tc>
        <w:tc>
          <w:tcPr>
            <w:tcW w:w="2172" w:type="dxa"/>
            <w:tcBorders>
              <w:tl2br w:val="nil"/>
              <w:tr2bl w:val="nil"/>
            </w:tcBorders>
            <w:vAlign w:val="center"/>
          </w:tcPr>
          <w:p w14:paraId="48E7FA4F">
            <w:pPr>
              <w:jc w:val="center"/>
              <w:rPr>
                <w:rFonts w:ascii="宋体" w:hAnsi="宋体" w:cs="宋体"/>
                <w:color w:val="auto"/>
                <w:sz w:val="21"/>
                <w:szCs w:val="21"/>
                <w:highlight w:val="none"/>
              </w:rPr>
            </w:pPr>
            <w:r>
              <w:rPr>
                <w:rFonts w:hint="eastAsia" w:ascii="宋体" w:hAnsi="宋体" w:cs="宋体"/>
                <w:color w:val="auto"/>
                <w:sz w:val="21"/>
                <w:szCs w:val="21"/>
                <w:highlight w:val="none"/>
              </w:rPr>
              <w:t>比选人确认收到招选文件澄清</w:t>
            </w:r>
          </w:p>
        </w:tc>
        <w:tc>
          <w:tcPr>
            <w:tcW w:w="6379" w:type="dxa"/>
            <w:tcBorders>
              <w:tl2br w:val="nil"/>
              <w:tr2bl w:val="nil"/>
            </w:tcBorders>
            <w:vAlign w:val="center"/>
          </w:tcPr>
          <w:p w14:paraId="38C0D965">
            <w:pPr>
              <w:jc w:val="both"/>
              <w:rPr>
                <w:rFonts w:ascii="宋体" w:hAnsi="宋体" w:cs="宋体"/>
                <w:color w:val="auto"/>
                <w:sz w:val="21"/>
                <w:szCs w:val="21"/>
                <w:highlight w:val="none"/>
              </w:rPr>
            </w:pPr>
            <w:r>
              <w:rPr>
                <w:rFonts w:hint="eastAsia" w:ascii="宋体" w:hAnsi="宋体" w:cs="宋体"/>
                <w:color w:val="auto"/>
                <w:sz w:val="21"/>
                <w:szCs w:val="21"/>
                <w:highlight w:val="none"/>
              </w:rPr>
              <w:t>由比选人从招选文件中指定网站上自行查阅与下载，不要求比选人向招选人发出确认函。</w:t>
            </w:r>
          </w:p>
        </w:tc>
      </w:tr>
      <w:tr w14:paraId="062C6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vAlign w:val="center"/>
          </w:tcPr>
          <w:p w14:paraId="0655CAAA">
            <w:pPr>
              <w:jc w:val="center"/>
              <w:rPr>
                <w:rFonts w:ascii="宋体" w:hAnsi="宋体" w:cs="宋体"/>
                <w:color w:val="auto"/>
                <w:sz w:val="21"/>
                <w:szCs w:val="21"/>
                <w:highlight w:val="none"/>
              </w:rPr>
            </w:pPr>
            <w:r>
              <w:rPr>
                <w:rFonts w:hint="eastAsia" w:ascii="宋体" w:hAnsi="宋体" w:cs="宋体"/>
                <w:color w:val="auto"/>
                <w:sz w:val="21"/>
                <w:szCs w:val="21"/>
                <w:highlight w:val="none"/>
              </w:rPr>
              <w:t>2.3.1</w:t>
            </w:r>
          </w:p>
        </w:tc>
        <w:tc>
          <w:tcPr>
            <w:tcW w:w="2172" w:type="dxa"/>
            <w:tcBorders>
              <w:tl2br w:val="nil"/>
              <w:tr2bl w:val="nil"/>
            </w:tcBorders>
            <w:vAlign w:val="center"/>
          </w:tcPr>
          <w:p w14:paraId="41211873">
            <w:pPr>
              <w:jc w:val="center"/>
              <w:rPr>
                <w:rFonts w:ascii="宋体" w:hAnsi="宋体" w:cs="宋体"/>
                <w:color w:val="auto"/>
                <w:sz w:val="21"/>
                <w:szCs w:val="21"/>
                <w:highlight w:val="none"/>
              </w:rPr>
            </w:pPr>
            <w:r>
              <w:rPr>
                <w:rFonts w:hint="eastAsia" w:ascii="宋体" w:hAnsi="宋体" w:cs="宋体"/>
                <w:color w:val="auto"/>
                <w:sz w:val="21"/>
                <w:szCs w:val="21"/>
                <w:highlight w:val="none"/>
              </w:rPr>
              <w:t>招选文件修改发出的形式</w:t>
            </w:r>
          </w:p>
        </w:tc>
        <w:tc>
          <w:tcPr>
            <w:tcW w:w="6379" w:type="dxa"/>
            <w:tcBorders>
              <w:tl2br w:val="nil"/>
              <w:tr2bl w:val="nil"/>
            </w:tcBorders>
            <w:vAlign w:val="center"/>
          </w:tcPr>
          <w:p w14:paraId="2D8746C1">
            <w:pPr>
              <w:jc w:val="both"/>
              <w:rPr>
                <w:rFonts w:ascii="宋体" w:hAnsi="宋体" w:cs="宋体"/>
                <w:color w:val="auto"/>
                <w:sz w:val="21"/>
                <w:szCs w:val="21"/>
                <w:highlight w:val="none"/>
              </w:rPr>
            </w:pPr>
            <w:r>
              <w:rPr>
                <w:rFonts w:hint="eastAsia" w:ascii="宋体" w:hAnsi="宋体" w:cs="宋体"/>
                <w:color w:val="auto"/>
                <w:sz w:val="21"/>
                <w:szCs w:val="21"/>
                <w:highlight w:val="none"/>
              </w:rPr>
              <w:t>同本须知前附表第 2.2.2 款</w:t>
            </w:r>
          </w:p>
        </w:tc>
      </w:tr>
      <w:tr w14:paraId="6757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vAlign w:val="center"/>
          </w:tcPr>
          <w:p w14:paraId="4F5F3BF7">
            <w:pPr>
              <w:jc w:val="center"/>
              <w:rPr>
                <w:rFonts w:ascii="宋体" w:hAnsi="宋体" w:cs="宋体"/>
                <w:color w:val="auto"/>
                <w:sz w:val="21"/>
                <w:szCs w:val="21"/>
                <w:highlight w:val="none"/>
              </w:rPr>
            </w:pPr>
            <w:r>
              <w:rPr>
                <w:rFonts w:hint="eastAsia" w:ascii="宋体" w:hAnsi="宋体" w:cs="宋体"/>
                <w:color w:val="auto"/>
                <w:sz w:val="21"/>
                <w:szCs w:val="21"/>
                <w:highlight w:val="none"/>
              </w:rPr>
              <w:t>2.3.2</w:t>
            </w:r>
          </w:p>
        </w:tc>
        <w:tc>
          <w:tcPr>
            <w:tcW w:w="2172" w:type="dxa"/>
            <w:tcBorders>
              <w:tl2br w:val="nil"/>
              <w:tr2bl w:val="nil"/>
            </w:tcBorders>
            <w:vAlign w:val="center"/>
          </w:tcPr>
          <w:p w14:paraId="1A92DD6E">
            <w:pPr>
              <w:jc w:val="center"/>
              <w:rPr>
                <w:rFonts w:ascii="宋体" w:hAnsi="宋体" w:cs="宋体"/>
                <w:color w:val="auto"/>
                <w:sz w:val="21"/>
                <w:szCs w:val="21"/>
                <w:highlight w:val="none"/>
              </w:rPr>
            </w:pPr>
            <w:r>
              <w:rPr>
                <w:rFonts w:hint="eastAsia" w:ascii="宋体" w:hAnsi="宋体" w:cs="宋体"/>
                <w:color w:val="auto"/>
                <w:sz w:val="21"/>
                <w:szCs w:val="21"/>
                <w:highlight w:val="none"/>
              </w:rPr>
              <w:t>比选人确认收到招选文件修改</w:t>
            </w:r>
          </w:p>
        </w:tc>
        <w:tc>
          <w:tcPr>
            <w:tcW w:w="6379" w:type="dxa"/>
            <w:tcBorders>
              <w:tl2br w:val="nil"/>
              <w:tr2bl w:val="nil"/>
            </w:tcBorders>
            <w:vAlign w:val="center"/>
          </w:tcPr>
          <w:p w14:paraId="3DAA911A">
            <w:pPr>
              <w:jc w:val="both"/>
              <w:rPr>
                <w:rFonts w:ascii="宋体" w:hAnsi="宋体" w:cs="宋体"/>
                <w:color w:val="auto"/>
                <w:sz w:val="21"/>
                <w:szCs w:val="21"/>
                <w:highlight w:val="none"/>
              </w:rPr>
            </w:pPr>
            <w:r>
              <w:rPr>
                <w:rFonts w:hint="eastAsia" w:ascii="宋体" w:hAnsi="宋体" w:cs="宋体"/>
                <w:color w:val="auto"/>
                <w:sz w:val="21"/>
                <w:szCs w:val="21"/>
                <w:highlight w:val="none"/>
              </w:rPr>
              <w:t>同本须知前附表2.2.3款</w:t>
            </w:r>
          </w:p>
        </w:tc>
      </w:tr>
      <w:tr w14:paraId="0064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912" w:type="dxa"/>
            <w:tcBorders>
              <w:tl2br w:val="nil"/>
              <w:tr2bl w:val="nil"/>
            </w:tcBorders>
            <w:vAlign w:val="center"/>
          </w:tcPr>
          <w:p w14:paraId="64CDEEE5">
            <w:pPr>
              <w:jc w:val="center"/>
              <w:rPr>
                <w:rFonts w:ascii="宋体" w:hAnsi="宋体" w:cs="宋体"/>
                <w:color w:val="auto"/>
                <w:sz w:val="21"/>
                <w:szCs w:val="21"/>
                <w:highlight w:val="none"/>
              </w:rPr>
            </w:pPr>
            <w:r>
              <w:rPr>
                <w:rFonts w:hint="eastAsia" w:ascii="宋体" w:hAnsi="宋体" w:cs="宋体"/>
                <w:color w:val="auto"/>
                <w:sz w:val="21"/>
                <w:szCs w:val="21"/>
                <w:highlight w:val="none"/>
              </w:rPr>
              <w:t>3.1.1</w:t>
            </w:r>
          </w:p>
        </w:tc>
        <w:tc>
          <w:tcPr>
            <w:tcW w:w="2172" w:type="dxa"/>
            <w:tcBorders>
              <w:tl2br w:val="nil"/>
              <w:tr2bl w:val="nil"/>
            </w:tcBorders>
            <w:vAlign w:val="center"/>
          </w:tcPr>
          <w:p w14:paraId="09C9BFC6">
            <w:pPr>
              <w:jc w:val="center"/>
              <w:rPr>
                <w:rFonts w:ascii="宋体" w:hAnsi="宋体" w:cs="宋体"/>
                <w:color w:val="auto"/>
                <w:sz w:val="21"/>
                <w:szCs w:val="21"/>
                <w:highlight w:val="none"/>
              </w:rPr>
            </w:pPr>
            <w:r>
              <w:rPr>
                <w:rFonts w:hint="eastAsia" w:ascii="宋体" w:hAnsi="宋体" w:cs="宋体"/>
                <w:color w:val="auto"/>
                <w:sz w:val="21"/>
                <w:szCs w:val="21"/>
                <w:highlight w:val="none"/>
              </w:rPr>
              <w:t>比选文件的组成</w:t>
            </w:r>
          </w:p>
        </w:tc>
        <w:tc>
          <w:tcPr>
            <w:tcW w:w="6379" w:type="dxa"/>
            <w:tcBorders>
              <w:tl2br w:val="nil"/>
              <w:tr2bl w:val="nil"/>
            </w:tcBorders>
            <w:vAlign w:val="center"/>
          </w:tcPr>
          <w:p w14:paraId="6D6F4AB5">
            <w:pPr>
              <w:jc w:val="both"/>
              <w:rPr>
                <w:rFonts w:ascii="宋体" w:hAnsi="宋体" w:cs="宋体"/>
                <w:color w:val="auto"/>
                <w:sz w:val="21"/>
                <w:szCs w:val="21"/>
                <w:highlight w:val="none"/>
              </w:rPr>
            </w:pPr>
            <w:r>
              <w:rPr>
                <w:rFonts w:hint="eastAsia" w:ascii="宋体" w:hAnsi="宋体" w:cs="宋体"/>
                <w:color w:val="auto"/>
                <w:sz w:val="21"/>
                <w:szCs w:val="21"/>
                <w:highlight w:val="none"/>
              </w:rPr>
              <w:t>（1）比选函；</w:t>
            </w:r>
          </w:p>
          <w:p w14:paraId="512246B7">
            <w:pPr>
              <w:jc w:val="both"/>
              <w:rPr>
                <w:rFonts w:ascii="宋体" w:hAnsi="宋体" w:cs="宋体"/>
                <w:color w:val="auto"/>
                <w:sz w:val="21"/>
                <w:szCs w:val="21"/>
                <w:highlight w:val="none"/>
              </w:rPr>
            </w:pPr>
            <w:r>
              <w:rPr>
                <w:rFonts w:hint="eastAsia" w:ascii="宋体" w:hAnsi="宋体" w:cs="宋体"/>
                <w:color w:val="auto"/>
                <w:sz w:val="21"/>
                <w:szCs w:val="21"/>
                <w:highlight w:val="none"/>
              </w:rPr>
              <w:t>（2）法定代表人（单位负责人）身份证明或授权委托书；</w:t>
            </w:r>
          </w:p>
          <w:p w14:paraId="592899EE">
            <w:pPr>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（3）资格审查资料；</w:t>
            </w:r>
          </w:p>
          <w:p w14:paraId="0B4E97B6">
            <w:pPr>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无行贿犯罪的承诺函</w:t>
            </w:r>
            <w:r>
              <w:rPr>
                <w:rFonts w:hint="eastAsia" w:ascii="宋体" w:hAnsi="宋体" w:cs="宋体"/>
                <w:color w:val="auto"/>
                <w:sz w:val="21"/>
                <w:szCs w:val="21"/>
                <w:highlight w:val="none"/>
              </w:rPr>
              <w:t>；</w:t>
            </w:r>
          </w:p>
          <w:p w14:paraId="55B3B839">
            <w:pPr>
              <w:jc w:val="both"/>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资格证书</w:t>
            </w:r>
            <w:r>
              <w:rPr>
                <w:rFonts w:hint="eastAsia" w:ascii="宋体" w:hAnsi="宋体" w:cs="宋体"/>
                <w:color w:val="auto"/>
                <w:sz w:val="21"/>
                <w:szCs w:val="21"/>
                <w:highlight w:val="none"/>
              </w:rPr>
              <w:t>。</w:t>
            </w:r>
          </w:p>
        </w:tc>
      </w:tr>
      <w:tr w14:paraId="78BF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vAlign w:val="center"/>
          </w:tcPr>
          <w:p w14:paraId="051AC1DF">
            <w:pPr>
              <w:jc w:val="center"/>
              <w:rPr>
                <w:rFonts w:ascii="宋体" w:hAnsi="宋体" w:cs="宋体"/>
                <w:color w:val="auto"/>
                <w:sz w:val="21"/>
                <w:szCs w:val="21"/>
                <w:highlight w:val="none"/>
              </w:rPr>
            </w:pPr>
            <w:r>
              <w:rPr>
                <w:rFonts w:hint="eastAsia" w:ascii="宋体" w:hAnsi="宋体" w:cs="宋体"/>
                <w:color w:val="auto"/>
                <w:sz w:val="21"/>
                <w:szCs w:val="21"/>
                <w:highlight w:val="none"/>
              </w:rPr>
              <w:t>3.2.1</w:t>
            </w:r>
          </w:p>
        </w:tc>
        <w:tc>
          <w:tcPr>
            <w:tcW w:w="2172" w:type="dxa"/>
            <w:tcBorders>
              <w:tl2br w:val="nil"/>
              <w:tr2bl w:val="nil"/>
            </w:tcBorders>
            <w:vAlign w:val="center"/>
          </w:tcPr>
          <w:p w14:paraId="63DF960A">
            <w:pPr>
              <w:jc w:val="center"/>
              <w:rPr>
                <w:rFonts w:ascii="宋体" w:hAnsi="宋体" w:cs="宋体"/>
                <w:color w:val="auto"/>
                <w:sz w:val="21"/>
                <w:szCs w:val="21"/>
                <w:highlight w:val="none"/>
              </w:rPr>
            </w:pPr>
            <w:r>
              <w:rPr>
                <w:rFonts w:hint="eastAsia" w:ascii="宋体" w:hAnsi="宋体" w:cs="宋体"/>
                <w:color w:val="auto"/>
                <w:sz w:val="21"/>
                <w:szCs w:val="21"/>
                <w:highlight w:val="none"/>
              </w:rPr>
              <w:t>增值税税金的计算方法</w:t>
            </w:r>
          </w:p>
        </w:tc>
        <w:tc>
          <w:tcPr>
            <w:tcW w:w="6379" w:type="dxa"/>
            <w:tcBorders>
              <w:tl2br w:val="nil"/>
              <w:tr2bl w:val="nil"/>
            </w:tcBorders>
            <w:vAlign w:val="center"/>
          </w:tcPr>
          <w:p w14:paraId="0A9B446D">
            <w:pPr>
              <w:jc w:val="both"/>
              <w:rPr>
                <w:rFonts w:ascii="宋体" w:hAnsi="宋体" w:cs="宋体"/>
                <w:color w:val="auto"/>
                <w:sz w:val="21"/>
                <w:szCs w:val="21"/>
                <w:highlight w:val="none"/>
              </w:rPr>
            </w:pPr>
            <w:r>
              <w:rPr>
                <w:rFonts w:hint="eastAsia" w:ascii="宋体" w:hAnsi="宋体" w:cs="宋体"/>
                <w:color w:val="auto"/>
                <w:sz w:val="21"/>
                <w:szCs w:val="21"/>
                <w:highlight w:val="none"/>
              </w:rPr>
              <w:t>按国家规定的一般计税方法计算</w:t>
            </w:r>
          </w:p>
        </w:tc>
      </w:tr>
      <w:tr w14:paraId="33D1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12" w:type="dxa"/>
            <w:tcBorders>
              <w:tl2br w:val="nil"/>
              <w:tr2bl w:val="nil"/>
            </w:tcBorders>
            <w:vAlign w:val="center"/>
          </w:tcPr>
          <w:p w14:paraId="22B289B2">
            <w:pPr>
              <w:jc w:val="center"/>
              <w:rPr>
                <w:rFonts w:ascii="宋体" w:hAnsi="宋体" w:cs="宋体"/>
                <w:color w:val="auto"/>
                <w:sz w:val="21"/>
                <w:szCs w:val="21"/>
                <w:highlight w:val="none"/>
              </w:rPr>
            </w:pPr>
            <w:r>
              <w:rPr>
                <w:rFonts w:hint="eastAsia" w:ascii="宋体" w:hAnsi="宋体" w:cs="宋体"/>
                <w:color w:val="auto"/>
                <w:sz w:val="21"/>
                <w:szCs w:val="21"/>
                <w:highlight w:val="none"/>
              </w:rPr>
              <w:t>3.2.2</w:t>
            </w:r>
          </w:p>
        </w:tc>
        <w:tc>
          <w:tcPr>
            <w:tcW w:w="2172" w:type="dxa"/>
            <w:tcBorders>
              <w:tl2br w:val="nil"/>
              <w:tr2bl w:val="nil"/>
            </w:tcBorders>
            <w:vAlign w:val="center"/>
          </w:tcPr>
          <w:p w14:paraId="113075D3">
            <w:pPr>
              <w:jc w:val="center"/>
              <w:rPr>
                <w:rFonts w:ascii="宋体" w:hAnsi="宋体" w:cs="宋体"/>
                <w:color w:val="auto"/>
                <w:sz w:val="21"/>
                <w:szCs w:val="21"/>
                <w:highlight w:val="none"/>
              </w:rPr>
            </w:pPr>
            <w:r>
              <w:rPr>
                <w:rFonts w:hint="eastAsia" w:ascii="宋体" w:hAnsi="宋体" w:cs="宋体"/>
                <w:color w:val="auto"/>
                <w:sz w:val="21"/>
                <w:szCs w:val="21"/>
                <w:highlight w:val="none"/>
              </w:rPr>
              <w:t>清单的填写方式</w:t>
            </w:r>
          </w:p>
        </w:tc>
        <w:tc>
          <w:tcPr>
            <w:tcW w:w="6379" w:type="dxa"/>
            <w:tcBorders>
              <w:tl2br w:val="nil"/>
              <w:tr2bl w:val="nil"/>
            </w:tcBorders>
            <w:vAlign w:val="center"/>
          </w:tcPr>
          <w:p w14:paraId="72BDFCE4">
            <w:pPr>
              <w:jc w:val="both"/>
              <w:rPr>
                <w:rFonts w:ascii="宋体" w:hAnsi="宋体" w:cs="宋体"/>
                <w:color w:val="auto"/>
                <w:sz w:val="21"/>
                <w:szCs w:val="21"/>
                <w:highlight w:val="none"/>
              </w:rPr>
            </w:pPr>
            <w:r>
              <w:rPr>
                <w:rFonts w:hint="eastAsia" w:ascii="宋体" w:hAnsi="宋体" w:cs="宋体"/>
                <w:color w:val="auto"/>
                <w:sz w:val="21"/>
                <w:szCs w:val="21"/>
                <w:highlight w:val="none"/>
              </w:rPr>
              <w:t>比选人按照招选人提供的报价清单填写单价和总价</w:t>
            </w:r>
          </w:p>
        </w:tc>
      </w:tr>
      <w:tr w14:paraId="6824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tcBorders>
              <w:tl2br w:val="nil"/>
              <w:tr2bl w:val="nil"/>
            </w:tcBorders>
            <w:vAlign w:val="center"/>
          </w:tcPr>
          <w:p w14:paraId="6A7472D8">
            <w:pPr>
              <w:jc w:val="center"/>
              <w:rPr>
                <w:rFonts w:ascii="宋体" w:hAnsi="宋体" w:cs="宋体"/>
                <w:color w:val="auto"/>
                <w:sz w:val="21"/>
                <w:szCs w:val="21"/>
                <w:highlight w:val="none"/>
              </w:rPr>
            </w:pPr>
            <w:r>
              <w:rPr>
                <w:rFonts w:hint="eastAsia" w:ascii="宋体" w:hAnsi="宋体" w:cs="宋体"/>
                <w:color w:val="auto"/>
                <w:sz w:val="21"/>
                <w:szCs w:val="21"/>
                <w:highlight w:val="none"/>
              </w:rPr>
              <w:t>3.2.3</w:t>
            </w:r>
          </w:p>
        </w:tc>
        <w:tc>
          <w:tcPr>
            <w:tcW w:w="2172" w:type="dxa"/>
            <w:tcBorders>
              <w:tl2br w:val="nil"/>
              <w:tr2bl w:val="nil"/>
            </w:tcBorders>
            <w:vAlign w:val="center"/>
          </w:tcPr>
          <w:p w14:paraId="3A009C5D">
            <w:pPr>
              <w:jc w:val="center"/>
              <w:rPr>
                <w:rFonts w:ascii="宋体" w:hAnsi="宋体" w:cs="宋体"/>
                <w:color w:val="auto"/>
                <w:sz w:val="21"/>
                <w:szCs w:val="21"/>
                <w:highlight w:val="none"/>
              </w:rPr>
            </w:pPr>
            <w:r>
              <w:rPr>
                <w:rFonts w:hint="eastAsia" w:ascii="宋体" w:hAnsi="宋体" w:cs="宋体"/>
                <w:color w:val="auto"/>
                <w:sz w:val="21"/>
                <w:szCs w:val="21"/>
                <w:highlight w:val="none"/>
              </w:rPr>
              <w:t>最高比选限价</w:t>
            </w:r>
          </w:p>
        </w:tc>
        <w:tc>
          <w:tcPr>
            <w:tcW w:w="6379" w:type="dxa"/>
            <w:tcBorders>
              <w:tl2br w:val="nil"/>
              <w:tr2bl w:val="nil"/>
            </w:tcBorders>
            <w:vAlign w:val="center"/>
          </w:tcPr>
          <w:p w14:paraId="4B1244A8">
            <w:pPr>
              <w:widowControl/>
              <w:topLinePunct/>
              <w:snapToGrid w:val="0"/>
              <w:spacing w:line="360" w:lineRule="exact"/>
              <w:jc w:val="both"/>
              <w:textAlignment w:val="baseline"/>
              <w:rPr>
                <w:rFonts w:ascii="宋体" w:hAnsi="宋体" w:cs="宋体"/>
                <w:color w:val="auto"/>
                <w:sz w:val="20"/>
                <w:highlight w:val="none"/>
              </w:rPr>
            </w:pPr>
            <w:r>
              <w:rPr>
                <w:rFonts w:hint="eastAsia" w:ascii="宋体" w:hAnsi="宋体" w:cs="宋体"/>
                <w:color w:val="auto"/>
                <w:sz w:val="20"/>
                <w:highlight w:val="none"/>
              </w:rPr>
              <w:t>有，最高投标限价公布如下：100元/亩</w:t>
            </w:r>
          </w:p>
          <w:p w14:paraId="15F3ACAF">
            <w:pPr>
              <w:jc w:val="both"/>
              <w:rPr>
                <w:rFonts w:ascii="宋体" w:hAnsi="宋体" w:cs="宋体"/>
                <w:color w:val="auto"/>
                <w:sz w:val="21"/>
                <w:szCs w:val="21"/>
                <w:highlight w:val="none"/>
              </w:rPr>
            </w:pPr>
            <w:r>
              <w:rPr>
                <w:rFonts w:hint="eastAsia" w:ascii="宋体" w:hAnsi="宋体" w:cs="宋体"/>
                <w:b/>
                <w:bCs/>
                <w:color w:val="auto"/>
                <w:sz w:val="20"/>
                <w:highlight w:val="none"/>
              </w:rPr>
              <w:t>公布的最高投标限价作为比选人投标报价的控制上限，凡是比选报价超过最高比选限价的，将作为无效投标处理。</w:t>
            </w:r>
          </w:p>
        </w:tc>
      </w:tr>
      <w:tr w14:paraId="2BA0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tcBorders>
              <w:tl2br w:val="nil"/>
              <w:tr2bl w:val="nil"/>
            </w:tcBorders>
            <w:vAlign w:val="center"/>
          </w:tcPr>
          <w:p w14:paraId="63DD8B1D">
            <w:pPr>
              <w:jc w:val="center"/>
              <w:rPr>
                <w:rFonts w:ascii="宋体" w:hAnsi="宋体" w:cs="宋体"/>
                <w:color w:val="auto"/>
                <w:sz w:val="21"/>
                <w:szCs w:val="21"/>
                <w:highlight w:val="none"/>
              </w:rPr>
            </w:pPr>
            <w:r>
              <w:rPr>
                <w:rFonts w:hint="eastAsia" w:ascii="宋体" w:hAnsi="宋体" w:cs="宋体"/>
                <w:color w:val="auto"/>
                <w:sz w:val="21"/>
                <w:szCs w:val="21"/>
                <w:highlight w:val="none"/>
              </w:rPr>
              <w:t>3.2.4</w:t>
            </w:r>
          </w:p>
        </w:tc>
        <w:tc>
          <w:tcPr>
            <w:tcW w:w="2172" w:type="dxa"/>
            <w:tcBorders>
              <w:tl2br w:val="nil"/>
              <w:tr2bl w:val="nil"/>
            </w:tcBorders>
            <w:vAlign w:val="center"/>
          </w:tcPr>
          <w:p w14:paraId="130F217E">
            <w:pPr>
              <w:jc w:val="center"/>
              <w:rPr>
                <w:rFonts w:ascii="宋体" w:hAnsi="宋体" w:cs="宋体"/>
                <w:color w:val="auto"/>
                <w:sz w:val="21"/>
                <w:szCs w:val="21"/>
                <w:highlight w:val="none"/>
              </w:rPr>
            </w:pPr>
            <w:r>
              <w:rPr>
                <w:rFonts w:hint="eastAsia" w:ascii="宋体" w:hAnsi="宋体" w:cs="宋体"/>
                <w:color w:val="auto"/>
                <w:sz w:val="21"/>
                <w:szCs w:val="21"/>
                <w:highlight w:val="none"/>
              </w:rPr>
              <w:t>比选报价的其他要求</w:t>
            </w:r>
          </w:p>
        </w:tc>
        <w:tc>
          <w:tcPr>
            <w:tcW w:w="6379" w:type="dxa"/>
            <w:tcBorders>
              <w:tl2br w:val="nil"/>
              <w:tr2bl w:val="nil"/>
            </w:tcBorders>
          </w:tcPr>
          <w:p w14:paraId="13F08B21">
            <w:pPr>
              <w:rPr>
                <w:rFonts w:ascii="宋体" w:hAnsi="宋体" w:cs="宋体"/>
                <w:color w:val="auto"/>
                <w:sz w:val="21"/>
                <w:szCs w:val="21"/>
                <w:highlight w:val="none"/>
              </w:rPr>
            </w:pPr>
            <w:r>
              <w:rPr>
                <w:rFonts w:hint="eastAsia" w:ascii="宋体" w:hAnsi="宋体" w:cs="宋体"/>
                <w:color w:val="auto"/>
                <w:sz w:val="21"/>
                <w:szCs w:val="21"/>
                <w:highlight w:val="none"/>
              </w:rPr>
              <w:t>比选人的比选价应是所比选段完成全部服务内容的比选报价，</w:t>
            </w:r>
            <w:r>
              <w:rPr>
                <w:rFonts w:ascii="宋体" w:hAnsi="宋体" w:cs="宋体"/>
                <w:color w:val="auto"/>
                <w:sz w:val="21"/>
                <w:szCs w:val="21"/>
                <w:highlight w:val="none"/>
              </w:rPr>
              <w:t xml:space="preserve"> </w:t>
            </w:r>
          </w:p>
        </w:tc>
      </w:tr>
      <w:tr w14:paraId="2EC9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12" w:type="dxa"/>
            <w:tcBorders>
              <w:tl2br w:val="nil"/>
              <w:tr2bl w:val="nil"/>
            </w:tcBorders>
            <w:vAlign w:val="center"/>
          </w:tcPr>
          <w:p w14:paraId="74781735">
            <w:pPr>
              <w:jc w:val="center"/>
              <w:rPr>
                <w:rFonts w:ascii="宋体" w:hAnsi="宋体" w:cs="宋体"/>
                <w:color w:val="auto"/>
                <w:sz w:val="21"/>
                <w:szCs w:val="21"/>
                <w:highlight w:val="none"/>
              </w:rPr>
            </w:pPr>
            <w:r>
              <w:rPr>
                <w:rFonts w:hint="eastAsia" w:ascii="宋体" w:hAnsi="宋体" w:cs="宋体"/>
                <w:color w:val="auto"/>
                <w:sz w:val="21"/>
                <w:szCs w:val="21"/>
                <w:highlight w:val="none"/>
              </w:rPr>
              <w:t>3.3.1</w:t>
            </w:r>
          </w:p>
        </w:tc>
        <w:tc>
          <w:tcPr>
            <w:tcW w:w="2172" w:type="dxa"/>
            <w:tcBorders>
              <w:tl2br w:val="nil"/>
              <w:tr2bl w:val="nil"/>
            </w:tcBorders>
            <w:vAlign w:val="center"/>
          </w:tcPr>
          <w:p w14:paraId="6BD5E325">
            <w:pPr>
              <w:jc w:val="center"/>
              <w:rPr>
                <w:rFonts w:ascii="宋体" w:hAnsi="宋体" w:cs="宋体"/>
                <w:color w:val="auto"/>
                <w:sz w:val="21"/>
                <w:szCs w:val="21"/>
                <w:highlight w:val="none"/>
              </w:rPr>
            </w:pPr>
            <w:r>
              <w:rPr>
                <w:rFonts w:hint="eastAsia" w:ascii="宋体" w:hAnsi="宋体" w:cs="宋体"/>
                <w:color w:val="auto"/>
                <w:sz w:val="21"/>
                <w:szCs w:val="21"/>
                <w:highlight w:val="none"/>
              </w:rPr>
              <w:t>比选有效期</w:t>
            </w:r>
          </w:p>
        </w:tc>
        <w:tc>
          <w:tcPr>
            <w:tcW w:w="6379" w:type="dxa"/>
            <w:tcBorders>
              <w:tl2br w:val="nil"/>
              <w:tr2bl w:val="nil"/>
            </w:tcBorders>
            <w:vAlign w:val="center"/>
          </w:tcPr>
          <w:p w14:paraId="7E10A06F">
            <w:pPr>
              <w:jc w:val="both"/>
              <w:rPr>
                <w:rFonts w:ascii="宋体" w:hAnsi="宋体" w:cs="宋体"/>
                <w:color w:val="auto"/>
                <w:sz w:val="21"/>
                <w:szCs w:val="21"/>
                <w:highlight w:val="none"/>
              </w:rPr>
            </w:pPr>
            <w:r>
              <w:rPr>
                <w:rFonts w:hint="eastAsia" w:ascii="宋体" w:hAnsi="宋体" w:cs="宋体"/>
                <w:color w:val="auto"/>
                <w:sz w:val="21"/>
                <w:szCs w:val="21"/>
                <w:highlight w:val="none"/>
              </w:rPr>
              <w:t>自比选人提交比选文件截止之日起计算90日</w:t>
            </w:r>
          </w:p>
        </w:tc>
      </w:tr>
      <w:tr w14:paraId="793F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912" w:type="dxa"/>
            <w:tcBorders>
              <w:tl2br w:val="nil"/>
              <w:tr2bl w:val="nil"/>
            </w:tcBorders>
            <w:vAlign w:val="center"/>
          </w:tcPr>
          <w:p w14:paraId="2A0B8D45">
            <w:pPr>
              <w:jc w:val="center"/>
              <w:rPr>
                <w:rFonts w:ascii="宋体" w:hAnsi="宋体" w:cs="宋体"/>
                <w:color w:val="auto"/>
                <w:sz w:val="21"/>
                <w:szCs w:val="21"/>
                <w:highlight w:val="none"/>
              </w:rPr>
            </w:pPr>
            <w:r>
              <w:rPr>
                <w:rFonts w:hint="eastAsia" w:ascii="宋体" w:hAnsi="宋体" w:cs="宋体"/>
                <w:color w:val="auto"/>
                <w:sz w:val="21"/>
                <w:szCs w:val="21"/>
                <w:highlight w:val="none"/>
              </w:rPr>
              <w:t>3.4.1</w:t>
            </w:r>
          </w:p>
        </w:tc>
        <w:tc>
          <w:tcPr>
            <w:tcW w:w="2172" w:type="dxa"/>
            <w:tcBorders>
              <w:tl2br w:val="nil"/>
              <w:tr2bl w:val="nil"/>
            </w:tcBorders>
            <w:vAlign w:val="center"/>
          </w:tcPr>
          <w:p w14:paraId="19137CF2">
            <w:pPr>
              <w:jc w:val="center"/>
              <w:rPr>
                <w:rFonts w:ascii="宋体" w:hAnsi="宋体" w:cs="宋体"/>
                <w:color w:val="auto"/>
                <w:sz w:val="21"/>
                <w:szCs w:val="21"/>
                <w:highlight w:val="none"/>
              </w:rPr>
            </w:pPr>
            <w:r>
              <w:rPr>
                <w:rFonts w:hint="eastAsia" w:ascii="宋体" w:hAnsi="宋体" w:cs="宋体"/>
                <w:color w:val="auto"/>
                <w:sz w:val="21"/>
                <w:szCs w:val="21"/>
                <w:highlight w:val="none"/>
              </w:rPr>
              <w:t>比选保证金</w:t>
            </w:r>
          </w:p>
        </w:tc>
        <w:tc>
          <w:tcPr>
            <w:tcW w:w="6379" w:type="dxa"/>
            <w:tcBorders>
              <w:tl2br w:val="nil"/>
              <w:tr2bl w:val="nil"/>
            </w:tcBorders>
            <w:vAlign w:val="center"/>
          </w:tcPr>
          <w:p w14:paraId="4086BDB3">
            <w:pPr>
              <w:jc w:val="both"/>
              <w:rPr>
                <w:rFonts w:ascii="宋体" w:hAnsi="宋体" w:cs="宋体"/>
                <w:color w:val="auto"/>
                <w:highlight w:val="none"/>
              </w:rPr>
            </w:pPr>
            <w:r>
              <w:rPr>
                <w:rFonts w:hint="eastAsia" w:ascii="宋体" w:hAnsi="宋体" w:cs="宋体"/>
                <w:color w:val="auto"/>
                <w:highlight w:val="none"/>
              </w:rPr>
              <w:t>无</w:t>
            </w:r>
          </w:p>
        </w:tc>
      </w:tr>
      <w:tr w14:paraId="3C68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vAlign w:val="center"/>
          </w:tcPr>
          <w:p w14:paraId="7B08D74F">
            <w:pPr>
              <w:jc w:val="center"/>
              <w:rPr>
                <w:rFonts w:ascii="宋体" w:hAnsi="宋体" w:cs="宋体"/>
                <w:color w:val="auto"/>
                <w:sz w:val="21"/>
                <w:szCs w:val="21"/>
                <w:highlight w:val="none"/>
              </w:rPr>
            </w:pPr>
            <w:r>
              <w:rPr>
                <w:rFonts w:hint="eastAsia" w:ascii="宋体" w:hAnsi="宋体" w:cs="宋体"/>
                <w:color w:val="auto"/>
                <w:sz w:val="21"/>
                <w:szCs w:val="21"/>
                <w:highlight w:val="none"/>
              </w:rPr>
              <w:t>3.4.2</w:t>
            </w:r>
          </w:p>
        </w:tc>
        <w:tc>
          <w:tcPr>
            <w:tcW w:w="2172" w:type="dxa"/>
            <w:tcBorders>
              <w:tl2br w:val="nil"/>
              <w:tr2bl w:val="nil"/>
            </w:tcBorders>
            <w:vAlign w:val="center"/>
          </w:tcPr>
          <w:p w14:paraId="7BD11992">
            <w:pPr>
              <w:jc w:val="center"/>
              <w:rPr>
                <w:rFonts w:ascii="宋体" w:hAnsi="宋体" w:cs="宋体"/>
                <w:color w:val="auto"/>
                <w:sz w:val="21"/>
                <w:szCs w:val="21"/>
                <w:highlight w:val="none"/>
              </w:rPr>
            </w:pPr>
            <w:r>
              <w:rPr>
                <w:rFonts w:hint="eastAsia" w:ascii="宋体" w:hAnsi="宋体" w:cs="宋体"/>
                <w:color w:val="auto"/>
                <w:sz w:val="21"/>
                <w:szCs w:val="21"/>
                <w:highlight w:val="none"/>
              </w:rPr>
              <w:t>比选保证金的退还</w:t>
            </w:r>
          </w:p>
        </w:tc>
        <w:tc>
          <w:tcPr>
            <w:tcW w:w="6379" w:type="dxa"/>
            <w:tcBorders>
              <w:tl2br w:val="nil"/>
              <w:tr2bl w:val="nil"/>
            </w:tcBorders>
            <w:vAlign w:val="center"/>
          </w:tcPr>
          <w:p w14:paraId="4C6C8CDD">
            <w:pPr>
              <w:pStyle w:val="5"/>
              <w:jc w:val="center"/>
              <w:rPr>
                <w:rFonts w:hint="default" w:cs="宋体"/>
                <w:color w:val="auto"/>
                <w:sz w:val="21"/>
                <w:szCs w:val="21"/>
                <w:highlight w:val="none"/>
              </w:rPr>
            </w:pPr>
            <w:r>
              <w:rPr>
                <w:rFonts w:cs="宋体"/>
                <w:color w:val="auto"/>
                <w:sz w:val="21"/>
                <w:szCs w:val="21"/>
                <w:highlight w:val="none"/>
              </w:rPr>
              <w:t>/</w:t>
            </w:r>
          </w:p>
        </w:tc>
      </w:tr>
      <w:tr w14:paraId="7E66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vAlign w:val="center"/>
          </w:tcPr>
          <w:p w14:paraId="225FA08F">
            <w:pPr>
              <w:jc w:val="center"/>
              <w:rPr>
                <w:rFonts w:ascii="宋体" w:hAnsi="宋体" w:cs="宋体"/>
                <w:color w:val="auto"/>
                <w:sz w:val="21"/>
                <w:szCs w:val="21"/>
                <w:highlight w:val="none"/>
              </w:rPr>
            </w:pPr>
            <w:r>
              <w:rPr>
                <w:rFonts w:hint="eastAsia" w:ascii="宋体" w:hAnsi="宋体" w:cs="宋体"/>
                <w:color w:val="auto"/>
                <w:sz w:val="21"/>
                <w:szCs w:val="21"/>
                <w:highlight w:val="none"/>
              </w:rPr>
              <w:t>3.4.3</w:t>
            </w:r>
          </w:p>
        </w:tc>
        <w:tc>
          <w:tcPr>
            <w:tcW w:w="2172" w:type="dxa"/>
            <w:tcBorders>
              <w:tl2br w:val="nil"/>
              <w:tr2bl w:val="nil"/>
            </w:tcBorders>
            <w:vAlign w:val="center"/>
          </w:tcPr>
          <w:p w14:paraId="605BF338">
            <w:pPr>
              <w:jc w:val="center"/>
              <w:rPr>
                <w:rFonts w:ascii="宋体" w:hAnsi="宋体" w:cs="宋体"/>
                <w:color w:val="auto"/>
                <w:sz w:val="21"/>
                <w:szCs w:val="21"/>
                <w:highlight w:val="none"/>
              </w:rPr>
            </w:pPr>
            <w:r>
              <w:rPr>
                <w:rFonts w:hint="eastAsia" w:ascii="宋体" w:hAnsi="宋体" w:cs="宋体"/>
                <w:color w:val="auto"/>
                <w:sz w:val="21"/>
                <w:szCs w:val="21"/>
                <w:highlight w:val="none"/>
              </w:rPr>
              <w:t>比选保证金不予退还的情形</w:t>
            </w:r>
          </w:p>
        </w:tc>
        <w:tc>
          <w:tcPr>
            <w:tcW w:w="6379" w:type="dxa"/>
            <w:tcBorders>
              <w:tl2br w:val="nil"/>
              <w:tr2bl w:val="nil"/>
            </w:tcBorders>
            <w:vAlign w:val="center"/>
          </w:tcPr>
          <w:p w14:paraId="65A8AD6E">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r>
      <w:tr w14:paraId="4602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tcBorders>
              <w:tl2br w:val="nil"/>
              <w:tr2bl w:val="nil"/>
            </w:tcBorders>
            <w:vAlign w:val="center"/>
          </w:tcPr>
          <w:p w14:paraId="648525BB">
            <w:pPr>
              <w:jc w:val="center"/>
              <w:rPr>
                <w:rFonts w:ascii="宋体" w:hAnsi="宋体" w:cs="宋体"/>
                <w:color w:val="auto"/>
                <w:sz w:val="21"/>
                <w:szCs w:val="21"/>
                <w:highlight w:val="none"/>
              </w:rPr>
            </w:pPr>
            <w:r>
              <w:rPr>
                <w:rFonts w:hint="eastAsia" w:ascii="宋体" w:hAnsi="宋体" w:cs="宋体"/>
                <w:color w:val="auto"/>
                <w:sz w:val="21"/>
                <w:szCs w:val="21"/>
                <w:highlight w:val="none"/>
              </w:rPr>
              <w:t>3.5.1</w:t>
            </w:r>
          </w:p>
        </w:tc>
        <w:tc>
          <w:tcPr>
            <w:tcW w:w="2172" w:type="dxa"/>
            <w:tcBorders>
              <w:tl2br w:val="nil"/>
              <w:tr2bl w:val="nil"/>
            </w:tcBorders>
            <w:vAlign w:val="center"/>
          </w:tcPr>
          <w:p w14:paraId="61C313F5">
            <w:pPr>
              <w:jc w:val="center"/>
              <w:rPr>
                <w:rFonts w:ascii="宋体" w:hAnsi="宋体" w:cs="宋体"/>
                <w:color w:val="auto"/>
                <w:sz w:val="21"/>
                <w:szCs w:val="21"/>
                <w:highlight w:val="none"/>
              </w:rPr>
            </w:pPr>
            <w:r>
              <w:rPr>
                <w:rFonts w:hint="eastAsia" w:ascii="宋体" w:hAnsi="宋体" w:cs="宋体"/>
                <w:color w:val="auto"/>
                <w:sz w:val="21"/>
                <w:szCs w:val="21"/>
                <w:highlight w:val="none"/>
              </w:rPr>
              <w:t>资格审查资料</w:t>
            </w:r>
          </w:p>
        </w:tc>
        <w:tc>
          <w:tcPr>
            <w:tcW w:w="6379" w:type="dxa"/>
            <w:tcBorders>
              <w:tl2br w:val="nil"/>
              <w:tr2bl w:val="nil"/>
            </w:tcBorders>
            <w:vAlign w:val="center"/>
          </w:tcPr>
          <w:p w14:paraId="106C8D28">
            <w:pPr>
              <w:jc w:val="both"/>
              <w:rPr>
                <w:rFonts w:ascii="宋体" w:hAnsi="宋体" w:cs="宋体"/>
                <w:color w:val="auto"/>
                <w:sz w:val="21"/>
                <w:szCs w:val="21"/>
                <w:highlight w:val="none"/>
              </w:rPr>
            </w:pPr>
            <w:r>
              <w:rPr>
                <w:rFonts w:hint="eastAsia" w:ascii="宋体" w:hAnsi="宋体" w:cs="宋体"/>
                <w:color w:val="auto"/>
                <w:sz w:val="21"/>
                <w:szCs w:val="21"/>
                <w:highlight w:val="none"/>
              </w:rPr>
              <w:t>比选人提供的资格审查资料必须满足资格审查最低条件要求，并附相关证明材料，证明材料以第六章招选文件格式中要求为准。</w:t>
            </w:r>
          </w:p>
        </w:tc>
      </w:tr>
      <w:tr w14:paraId="3EF0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912" w:type="dxa"/>
            <w:tcBorders>
              <w:tl2br w:val="nil"/>
              <w:tr2bl w:val="nil"/>
            </w:tcBorders>
            <w:vAlign w:val="center"/>
          </w:tcPr>
          <w:p w14:paraId="67814105">
            <w:pPr>
              <w:jc w:val="center"/>
              <w:rPr>
                <w:rFonts w:ascii="宋体" w:hAnsi="宋体" w:cs="宋体"/>
                <w:color w:val="auto"/>
                <w:sz w:val="21"/>
                <w:szCs w:val="21"/>
                <w:highlight w:val="none"/>
              </w:rPr>
            </w:pPr>
            <w:r>
              <w:rPr>
                <w:rFonts w:hint="eastAsia" w:ascii="宋体" w:hAnsi="宋体" w:cs="宋体"/>
                <w:color w:val="auto"/>
                <w:sz w:val="21"/>
                <w:szCs w:val="21"/>
                <w:highlight w:val="none"/>
              </w:rPr>
              <w:t>3.5.2</w:t>
            </w:r>
          </w:p>
        </w:tc>
        <w:tc>
          <w:tcPr>
            <w:tcW w:w="2172" w:type="dxa"/>
            <w:tcBorders>
              <w:tl2br w:val="nil"/>
              <w:tr2bl w:val="nil"/>
            </w:tcBorders>
            <w:vAlign w:val="center"/>
          </w:tcPr>
          <w:p w14:paraId="22B4FA59">
            <w:pPr>
              <w:jc w:val="center"/>
              <w:rPr>
                <w:rFonts w:ascii="宋体" w:hAnsi="宋体" w:cs="宋体"/>
                <w:color w:val="auto"/>
                <w:sz w:val="21"/>
                <w:szCs w:val="21"/>
                <w:highlight w:val="none"/>
              </w:rPr>
            </w:pPr>
            <w:r>
              <w:rPr>
                <w:rFonts w:hint="eastAsia" w:ascii="宋体" w:hAnsi="宋体" w:cs="宋体"/>
                <w:color w:val="auto"/>
                <w:sz w:val="21"/>
                <w:szCs w:val="21"/>
                <w:highlight w:val="none"/>
              </w:rPr>
              <w:t>近年完成的类似项目的年份要求</w:t>
            </w:r>
          </w:p>
        </w:tc>
        <w:tc>
          <w:tcPr>
            <w:tcW w:w="6379" w:type="dxa"/>
            <w:tcBorders>
              <w:tl2br w:val="nil"/>
              <w:tr2bl w:val="nil"/>
            </w:tcBorders>
            <w:vAlign w:val="center"/>
          </w:tcPr>
          <w:p w14:paraId="2645D44E">
            <w:pPr>
              <w:rPr>
                <w:rFonts w:ascii="宋体" w:hAnsi="宋体" w:cs="宋体"/>
                <w:color w:val="auto"/>
                <w:sz w:val="21"/>
                <w:szCs w:val="21"/>
                <w:highlight w:val="none"/>
              </w:rPr>
            </w:pPr>
            <w:r>
              <w:rPr>
                <w:rFonts w:hint="eastAsia" w:ascii="宋体" w:hAnsi="宋体" w:cs="宋体"/>
                <w:color w:val="auto"/>
                <w:sz w:val="21"/>
                <w:szCs w:val="21"/>
                <w:highlight w:val="none"/>
              </w:rPr>
              <w:t>时间要求：20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年1月1日～投标截止日</w:t>
            </w:r>
          </w:p>
          <w:p w14:paraId="41379FD2">
            <w:pPr>
              <w:rPr>
                <w:rFonts w:ascii="宋体" w:hAnsi="宋体" w:cs="宋体"/>
                <w:color w:val="auto"/>
                <w:sz w:val="21"/>
                <w:szCs w:val="21"/>
                <w:highlight w:val="none"/>
              </w:rPr>
            </w:pPr>
            <w:r>
              <w:rPr>
                <w:rFonts w:hint="eastAsia" w:ascii="宋体" w:hAnsi="宋体" w:cs="宋体"/>
                <w:color w:val="auto"/>
                <w:sz w:val="21"/>
                <w:szCs w:val="21"/>
                <w:highlight w:val="none"/>
              </w:rPr>
              <w:t>“近年承担类似项目情况表”应附的证明材料的具体要求以“招选文件格式”中要求为准。</w:t>
            </w:r>
          </w:p>
        </w:tc>
      </w:tr>
      <w:tr w14:paraId="7D90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12" w:type="dxa"/>
            <w:vAlign w:val="center"/>
          </w:tcPr>
          <w:p w14:paraId="725EB82F">
            <w:pPr>
              <w:jc w:val="center"/>
              <w:rPr>
                <w:rFonts w:ascii="宋体" w:hAnsi="宋体" w:cs="宋体"/>
                <w:color w:val="auto"/>
                <w:sz w:val="21"/>
                <w:szCs w:val="21"/>
                <w:highlight w:val="none"/>
              </w:rPr>
            </w:pPr>
            <w:r>
              <w:rPr>
                <w:rFonts w:hint="eastAsia" w:ascii="宋体" w:hAnsi="宋体" w:cs="宋体"/>
                <w:color w:val="auto"/>
                <w:sz w:val="21"/>
                <w:szCs w:val="21"/>
                <w:highlight w:val="none"/>
              </w:rPr>
              <w:t>3.5.3</w:t>
            </w:r>
          </w:p>
        </w:tc>
        <w:tc>
          <w:tcPr>
            <w:tcW w:w="2172" w:type="dxa"/>
            <w:vAlign w:val="center"/>
          </w:tcPr>
          <w:p w14:paraId="756570A9">
            <w:pPr>
              <w:jc w:val="center"/>
              <w:rPr>
                <w:rFonts w:ascii="宋体" w:hAnsi="宋体" w:cs="宋体"/>
                <w:color w:val="auto"/>
                <w:sz w:val="21"/>
                <w:szCs w:val="21"/>
                <w:highlight w:val="none"/>
              </w:rPr>
            </w:pPr>
            <w:r>
              <w:rPr>
                <w:rFonts w:hint="eastAsia" w:ascii="宋体" w:hAnsi="宋体" w:cs="宋体"/>
                <w:color w:val="auto"/>
                <w:sz w:val="21"/>
                <w:szCs w:val="21"/>
                <w:highlight w:val="none"/>
              </w:rPr>
              <w:t>是否接受联合体比选</w:t>
            </w:r>
          </w:p>
        </w:tc>
        <w:tc>
          <w:tcPr>
            <w:tcW w:w="6379" w:type="dxa"/>
            <w:vAlign w:val="center"/>
          </w:tcPr>
          <w:p w14:paraId="5D4A37AB">
            <w:pPr>
              <w:jc w:val="both"/>
              <w:rPr>
                <w:rFonts w:ascii="宋体" w:hAnsi="宋体" w:cs="宋体"/>
                <w:color w:val="auto"/>
                <w:sz w:val="21"/>
                <w:szCs w:val="21"/>
                <w:highlight w:val="none"/>
              </w:rPr>
            </w:pPr>
            <w:r>
              <w:rPr>
                <w:rFonts w:hint="eastAsia" w:ascii="宋体" w:hAnsi="宋体" w:cs="宋体"/>
                <w:color w:val="auto"/>
                <w:sz w:val="21"/>
                <w:szCs w:val="21"/>
                <w:highlight w:val="none"/>
              </w:rPr>
              <w:t>不允许</w:t>
            </w:r>
          </w:p>
        </w:tc>
      </w:tr>
      <w:tr w14:paraId="7E91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12" w:type="dxa"/>
            <w:vAlign w:val="center"/>
          </w:tcPr>
          <w:p w14:paraId="4AD1BFD8">
            <w:pPr>
              <w:jc w:val="center"/>
              <w:rPr>
                <w:rFonts w:ascii="宋体" w:hAnsi="宋体" w:cs="宋体"/>
                <w:color w:val="auto"/>
                <w:sz w:val="21"/>
                <w:szCs w:val="21"/>
                <w:highlight w:val="none"/>
              </w:rPr>
            </w:pPr>
            <w:r>
              <w:rPr>
                <w:rFonts w:hint="eastAsia" w:ascii="宋体" w:hAnsi="宋体" w:cs="宋体"/>
                <w:color w:val="auto"/>
                <w:sz w:val="21"/>
                <w:szCs w:val="21"/>
                <w:highlight w:val="none"/>
              </w:rPr>
              <w:t>3.6.1</w:t>
            </w:r>
          </w:p>
        </w:tc>
        <w:tc>
          <w:tcPr>
            <w:tcW w:w="2172" w:type="dxa"/>
            <w:vAlign w:val="center"/>
          </w:tcPr>
          <w:p w14:paraId="5344772D">
            <w:pPr>
              <w:jc w:val="center"/>
              <w:rPr>
                <w:rFonts w:ascii="宋体" w:hAnsi="宋体" w:cs="宋体"/>
                <w:color w:val="auto"/>
                <w:sz w:val="21"/>
                <w:szCs w:val="21"/>
                <w:highlight w:val="none"/>
              </w:rPr>
            </w:pPr>
            <w:r>
              <w:rPr>
                <w:rFonts w:hint="eastAsia" w:ascii="宋体" w:hAnsi="宋体" w:cs="宋体"/>
                <w:color w:val="auto"/>
                <w:sz w:val="21"/>
                <w:szCs w:val="21"/>
                <w:highlight w:val="none"/>
              </w:rPr>
              <w:t>是否允许递交备选比选方案及报价</w:t>
            </w:r>
          </w:p>
        </w:tc>
        <w:tc>
          <w:tcPr>
            <w:tcW w:w="6379" w:type="dxa"/>
            <w:vAlign w:val="center"/>
          </w:tcPr>
          <w:p w14:paraId="20D0F402">
            <w:pPr>
              <w:jc w:val="both"/>
              <w:rPr>
                <w:rFonts w:ascii="宋体" w:hAnsi="宋体" w:cs="宋体"/>
                <w:color w:val="auto"/>
                <w:sz w:val="21"/>
                <w:szCs w:val="21"/>
                <w:highlight w:val="none"/>
              </w:rPr>
            </w:pPr>
            <w:r>
              <w:rPr>
                <w:rFonts w:hint="eastAsia" w:ascii="宋体" w:hAnsi="宋体" w:cs="宋体"/>
                <w:color w:val="auto"/>
                <w:sz w:val="21"/>
                <w:szCs w:val="21"/>
                <w:highlight w:val="none"/>
              </w:rPr>
              <w:t>不接受备选方案和多个报价。</w:t>
            </w:r>
          </w:p>
        </w:tc>
      </w:tr>
      <w:tr w14:paraId="4439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vAlign w:val="center"/>
          </w:tcPr>
          <w:p w14:paraId="2475AC79">
            <w:pPr>
              <w:jc w:val="center"/>
              <w:rPr>
                <w:rFonts w:ascii="宋体" w:hAnsi="宋体" w:cs="宋体"/>
                <w:color w:val="auto"/>
                <w:sz w:val="21"/>
                <w:szCs w:val="21"/>
                <w:highlight w:val="none"/>
              </w:rPr>
            </w:pPr>
            <w:r>
              <w:rPr>
                <w:rFonts w:hint="eastAsia" w:ascii="宋体" w:hAnsi="宋体" w:cs="宋体"/>
                <w:color w:val="auto"/>
                <w:sz w:val="21"/>
                <w:szCs w:val="21"/>
                <w:highlight w:val="none"/>
              </w:rPr>
              <w:t>3.7.1</w:t>
            </w:r>
          </w:p>
          <w:p w14:paraId="79015FBF">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172" w:type="dxa"/>
            <w:vAlign w:val="center"/>
          </w:tcPr>
          <w:p w14:paraId="5A9F8636">
            <w:pPr>
              <w:jc w:val="center"/>
              <w:rPr>
                <w:rFonts w:ascii="宋体" w:hAnsi="宋体" w:cs="宋体"/>
                <w:color w:val="auto"/>
                <w:sz w:val="21"/>
                <w:szCs w:val="21"/>
                <w:highlight w:val="none"/>
              </w:rPr>
            </w:pPr>
            <w:r>
              <w:rPr>
                <w:rFonts w:hint="eastAsia" w:ascii="宋体" w:hAnsi="宋体" w:cs="宋体"/>
                <w:color w:val="auto"/>
                <w:sz w:val="21"/>
                <w:szCs w:val="21"/>
                <w:highlight w:val="none"/>
              </w:rPr>
              <w:t>签字或盖章要求</w:t>
            </w:r>
          </w:p>
        </w:tc>
        <w:tc>
          <w:tcPr>
            <w:tcW w:w="6379" w:type="dxa"/>
            <w:vAlign w:val="center"/>
          </w:tcPr>
          <w:p w14:paraId="0323CD4E">
            <w:pPr>
              <w:jc w:val="both"/>
              <w:rPr>
                <w:rFonts w:ascii="宋体" w:hAnsi="宋体" w:cs="宋体"/>
                <w:color w:val="auto"/>
                <w:sz w:val="21"/>
                <w:szCs w:val="21"/>
                <w:highlight w:val="none"/>
              </w:rPr>
            </w:pPr>
            <w:r>
              <w:rPr>
                <w:rFonts w:hint="eastAsia" w:ascii="宋体" w:hAnsi="宋体" w:cs="宋体"/>
                <w:color w:val="auto"/>
                <w:sz w:val="21"/>
                <w:szCs w:val="21"/>
                <w:highlight w:val="none"/>
              </w:rPr>
              <w:t>法定代表人或其委托代理人必须在招选文件格式要求签署的地方亲自签署，并不得用印章、签名章或电子制版签名；</w:t>
            </w:r>
          </w:p>
          <w:p w14:paraId="6CE758C2">
            <w:pPr>
              <w:jc w:val="both"/>
              <w:rPr>
                <w:rFonts w:ascii="宋体" w:hAnsi="宋体" w:cs="宋体"/>
                <w:color w:val="auto"/>
                <w:sz w:val="21"/>
                <w:szCs w:val="21"/>
                <w:highlight w:val="none"/>
              </w:rPr>
            </w:pPr>
            <w:r>
              <w:rPr>
                <w:rFonts w:hint="eastAsia" w:ascii="宋体" w:hAnsi="宋体" w:cs="宋体"/>
                <w:color w:val="auto"/>
                <w:sz w:val="21"/>
                <w:szCs w:val="21"/>
                <w:highlight w:val="none"/>
              </w:rPr>
              <w:t>招选文件格式要求盖章的地方都须加盖比选人单位章（法定名称），不得使用专用印章，单位章内容必须与单位营业执照名称一致。</w:t>
            </w:r>
          </w:p>
        </w:tc>
      </w:tr>
      <w:tr w14:paraId="1AA5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vAlign w:val="center"/>
          </w:tcPr>
          <w:p w14:paraId="3D83E30E">
            <w:pPr>
              <w:jc w:val="center"/>
              <w:rPr>
                <w:rFonts w:ascii="宋体" w:hAnsi="宋体" w:cs="宋体"/>
                <w:color w:val="auto"/>
                <w:sz w:val="21"/>
                <w:szCs w:val="21"/>
                <w:highlight w:val="none"/>
              </w:rPr>
            </w:pPr>
            <w:r>
              <w:rPr>
                <w:rFonts w:hint="eastAsia" w:ascii="宋体" w:hAnsi="宋体" w:cs="宋体"/>
                <w:color w:val="auto"/>
                <w:sz w:val="21"/>
                <w:szCs w:val="21"/>
                <w:highlight w:val="none"/>
              </w:rPr>
              <w:t>3.7.1</w:t>
            </w:r>
          </w:p>
          <w:p w14:paraId="3E2F91F5">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172" w:type="dxa"/>
            <w:vAlign w:val="center"/>
          </w:tcPr>
          <w:p w14:paraId="23882FF4">
            <w:pPr>
              <w:jc w:val="center"/>
              <w:rPr>
                <w:rFonts w:ascii="宋体" w:hAnsi="宋体" w:cs="宋体"/>
                <w:color w:val="auto"/>
                <w:sz w:val="21"/>
                <w:szCs w:val="21"/>
                <w:highlight w:val="none"/>
              </w:rPr>
            </w:pPr>
            <w:r>
              <w:rPr>
                <w:rFonts w:hint="eastAsia" w:ascii="宋体" w:hAnsi="宋体" w:cs="宋体"/>
                <w:color w:val="auto"/>
                <w:sz w:val="21"/>
                <w:szCs w:val="21"/>
                <w:highlight w:val="none"/>
              </w:rPr>
              <w:t>比选文件副本份数及其他要求</w:t>
            </w:r>
          </w:p>
        </w:tc>
        <w:tc>
          <w:tcPr>
            <w:tcW w:w="6379" w:type="dxa"/>
            <w:vAlign w:val="center"/>
          </w:tcPr>
          <w:p w14:paraId="6F33D758">
            <w:pPr>
              <w:jc w:val="both"/>
              <w:rPr>
                <w:rFonts w:ascii="宋体" w:hAnsi="宋体" w:cs="宋体"/>
                <w:color w:val="auto"/>
                <w:sz w:val="21"/>
                <w:szCs w:val="21"/>
                <w:highlight w:val="none"/>
              </w:rPr>
            </w:pPr>
            <w:r>
              <w:rPr>
                <w:rFonts w:hint="eastAsia" w:ascii="宋体" w:hAnsi="宋体" w:cs="宋体"/>
                <w:color w:val="auto"/>
                <w:sz w:val="21"/>
                <w:szCs w:val="21"/>
                <w:highlight w:val="none"/>
              </w:rPr>
              <w:t>投标文件份数：1份。</w:t>
            </w:r>
          </w:p>
        </w:tc>
      </w:tr>
      <w:tr w14:paraId="1C0C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vAlign w:val="center"/>
          </w:tcPr>
          <w:p w14:paraId="22051A0E">
            <w:pPr>
              <w:jc w:val="center"/>
              <w:rPr>
                <w:rFonts w:ascii="宋体" w:hAnsi="宋体" w:cs="宋体"/>
                <w:color w:val="auto"/>
                <w:sz w:val="21"/>
                <w:szCs w:val="21"/>
                <w:highlight w:val="none"/>
              </w:rPr>
            </w:pPr>
            <w:r>
              <w:rPr>
                <w:rFonts w:hint="eastAsia" w:ascii="宋体" w:hAnsi="宋体" w:cs="宋体"/>
                <w:color w:val="auto"/>
                <w:sz w:val="21"/>
                <w:szCs w:val="21"/>
                <w:highlight w:val="none"/>
              </w:rPr>
              <w:t>3.7.1</w:t>
            </w:r>
          </w:p>
          <w:p w14:paraId="68F70C4D">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2172" w:type="dxa"/>
            <w:vAlign w:val="center"/>
          </w:tcPr>
          <w:p w14:paraId="0C052BF7">
            <w:pPr>
              <w:jc w:val="center"/>
              <w:rPr>
                <w:rFonts w:ascii="宋体" w:hAnsi="宋体" w:cs="宋体"/>
                <w:color w:val="auto"/>
                <w:sz w:val="21"/>
                <w:szCs w:val="21"/>
                <w:highlight w:val="none"/>
              </w:rPr>
            </w:pPr>
            <w:r>
              <w:rPr>
                <w:rFonts w:hint="eastAsia" w:ascii="宋体" w:hAnsi="宋体" w:cs="宋体"/>
                <w:color w:val="auto"/>
                <w:sz w:val="21"/>
                <w:szCs w:val="21"/>
                <w:highlight w:val="none"/>
              </w:rPr>
              <w:t>装订的其他要求</w:t>
            </w:r>
          </w:p>
        </w:tc>
        <w:tc>
          <w:tcPr>
            <w:tcW w:w="6379" w:type="dxa"/>
          </w:tcPr>
          <w:p w14:paraId="2D53965A">
            <w:pPr>
              <w:rPr>
                <w:rFonts w:ascii="宋体" w:hAnsi="宋体" w:cs="宋体"/>
                <w:color w:val="auto"/>
                <w:sz w:val="21"/>
                <w:szCs w:val="21"/>
                <w:highlight w:val="none"/>
              </w:rPr>
            </w:pPr>
            <w:r>
              <w:rPr>
                <w:rFonts w:hint="eastAsia" w:ascii="宋体" w:hAnsi="宋体" w:cs="宋体"/>
                <w:color w:val="auto"/>
                <w:sz w:val="21"/>
                <w:szCs w:val="21"/>
                <w:highlight w:val="none"/>
              </w:rPr>
              <w:t>1、比选文件应严格按照招选文件格式中的目录次序装订，不得调整；若内容较多，可装订成若干分册，并在封面标明次序及册数。2、比选文件应编制目录、且逐页标注连续编码。比选文件应采用粘贴或装订方式分别装订成册，不得采用活页夹等可随时拆换的方式装订，否则，由于比选文件页码编制和装订造成的丢失、散落或其它后果概由比选人自行承担。</w:t>
            </w:r>
          </w:p>
        </w:tc>
      </w:tr>
      <w:tr w14:paraId="46398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912" w:type="dxa"/>
            <w:vAlign w:val="center"/>
          </w:tcPr>
          <w:p w14:paraId="1841967D">
            <w:pPr>
              <w:jc w:val="center"/>
              <w:rPr>
                <w:rFonts w:ascii="宋体" w:hAnsi="宋体" w:cs="宋体"/>
                <w:color w:val="auto"/>
                <w:sz w:val="21"/>
                <w:szCs w:val="21"/>
                <w:highlight w:val="none"/>
              </w:rPr>
            </w:pPr>
            <w:r>
              <w:rPr>
                <w:rFonts w:hint="eastAsia" w:ascii="宋体" w:hAnsi="宋体" w:cs="宋体"/>
                <w:color w:val="auto"/>
                <w:sz w:val="21"/>
                <w:szCs w:val="21"/>
                <w:highlight w:val="none"/>
              </w:rPr>
              <w:t>4.1.1</w:t>
            </w:r>
          </w:p>
        </w:tc>
        <w:tc>
          <w:tcPr>
            <w:tcW w:w="2172" w:type="dxa"/>
            <w:vAlign w:val="center"/>
          </w:tcPr>
          <w:p w14:paraId="23D35ECE">
            <w:pPr>
              <w:jc w:val="center"/>
              <w:rPr>
                <w:rFonts w:ascii="宋体" w:hAnsi="宋体" w:cs="宋体"/>
                <w:color w:val="auto"/>
                <w:sz w:val="21"/>
                <w:szCs w:val="21"/>
                <w:highlight w:val="none"/>
              </w:rPr>
            </w:pPr>
            <w:r>
              <w:rPr>
                <w:rFonts w:hint="eastAsia" w:ascii="宋体" w:hAnsi="宋体" w:cs="宋体"/>
                <w:color w:val="auto"/>
                <w:sz w:val="21"/>
                <w:szCs w:val="21"/>
                <w:highlight w:val="none"/>
              </w:rPr>
              <w:t>比选文件的密封与包装</w:t>
            </w:r>
          </w:p>
        </w:tc>
        <w:tc>
          <w:tcPr>
            <w:tcW w:w="6379" w:type="dxa"/>
            <w:vAlign w:val="center"/>
          </w:tcPr>
          <w:p w14:paraId="22C5732F">
            <w:pPr>
              <w:rPr>
                <w:rFonts w:ascii="宋体" w:hAnsi="宋体" w:cs="宋体"/>
                <w:color w:val="auto"/>
                <w:sz w:val="21"/>
                <w:szCs w:val="21"/>
                <w:highlight w:val="none"/>
              </w:rPr>
            </w:pPr>
            <w:r>
              <w:rPr>
                <w:rFonts w:hint="eastAsia" w:ascii="宋体" w:hAnsi="宋体" w:cs="宋体"/>
                <w:color w:val="auto"/>
                <w:sz w:val="21"/>
                <w:szCs w:val="21"/>
                <w:highlight w:val="none"/>
              </w:rPr>
              <w:t>比选文件统一密封在一个封套内，并在封套的封口处加盖比选人单位章。</w:t>
            </w:r>
          </w:p>
        </w:tc>
      </w:tr>
      <w:tr w14:paraId="6B96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912" w:type="dxa"/>
            <w:vAlign w:val="center"/>
          </w:tcPr>
          <w:p w14:paraId="275763FE">
            <w:pPr>
              <w:jc w:val="center"/>
              <w:rPr>
                <w:rFonts w:ascii="宋体" w:hAnsi="宋体" w:cs="宋体"/>
                <w:color w:val="auto"/>
                <w:sz w:val="21"/>
                <w:szCs w:val="21"/>
                <w:highlight w:val="none"/>
              </w:rPr>
            </w:pPr>
            <w:r>
              <w:rPr>
                <w:rFonts w:hint="eastAsia" w:ascii="宋体" w:hAnsi="宋体" w:cs="宋体"/>
                <w:color w:val="auto"/>
                <w:sz w:val="21"/>
                <w:szCs w:val="21"/>
                <w:highlight w:val="none"/>
              </w:rPr>
              <w:t>4.1.2</w:t>
            </w:r>
          </w:p>
        </w:tc>
        <w:tc>
          <w:tcPr>
            <w:tcW w:w="2172" w:type="dxa"/>
            <w:vAlign w:val="center"/>
          </w:tcPr>
          <w:p w14:paraId="5B22F4FA">
            <w:pPr>
              <w:jc w:val="center"/>
              <w:rPr>
                <w:rFonts w:ascii="宋体" w:hAnsi="宋体" w:cs="宋体"/>
                <w:color w:val="auto"/>
                <w:sz w:val="21"/>
                <w:szCs w:val="21"/>
                <w:highlight w:val="none"/>
              </w:rPr>
            </w:pPr>
            <w:r>
              <w:rPr>
                <w:rFonts w:hint="eastAsia" w:ascii="宋体" w:hAnsi="宋体" w:cs="宋体"/>
                <w:color w:val="auto"/>
                <w:sz w:val="21"/>
                <w:szCs w:val="21"/>
                <w:highlight w:val="none"/>
              </w:rPr>
              <w:t>封套上标记写明内容</w:t>
            </w:r>
          </w:p>
        </w:tc>
        <w:tc>
          <w:tcPr>
            <w:tcW w:w="6379" w:type="dxa"/>
          </w:tcPr>
          <w:p w14:paraId="75DDCF29">
            <w:pPr>
              <w:pStyle w:val="14"/>
              <w:rPr>
                <w:rFonts w:hAnsi="宋体" w:cs="宋体"/>
                <w:b/>
                <w:bCs/>
                <w:color w:val="auto"/>
                <w:sz w:val="21"/>
                <w:highlight w:val="none"/>
              </w:rPr>
            </w:pPr>
            <w:r>
              <w:rPr>
                <w:rFonts w:hint="eastAsia" w:hAnsi="宋体" w:cs="宋体"/>
                <w:b/>
                <w:bCs/>
                <w:color w:val="auto"/>
                <w:sz w:val="21"/>
                <w:highlight w:val="none"/>
              </w:rPr>
              <w:t>1、外层封套</w:t>
            </w:r>
          </w:p>
          <w:p w14:paraId="5C5E915A">
            <w:pPr>
              <w:pStyle w:val="14"/>
              <w:rPr>
                <w:rFonts w:hAnsi="宋体" w:cs="宋体"/>
                <w:color w:val="auto"/>
                <w:sz w:val="21"/>
                <w:highlight w:val="none"/>
                <w:u w:val="single"/>
              </w:rPr>
            </w:pPr>
            <w:r>
              <w:rPr>
                <w:rFonts w:hint="eastAsia" w:hAnsi="宋体" w:cs="宋体"/>
                <w:color w:val="auto"/>
                <w:sz w:val="21"/>
                <w:highlight w:val="none"/>
              </w:rPr>
              <w:t xml:space="preserve">招选人名称： </w:t>
            </w:r>
            <w:r>
              <w:rPr>
                <w:rFonts w:hint="eastAsia" w:hAnsi="宋体" w:cs="宋体"/>
                <w:color w:val="auto"/>
                <w:sz w:val="21"/>
                <w:highlight w:val="none"/>
                <w:u w:val="single"/>
              </w:rPr>
              <w:t xml:space="preserve">               </w:t>
            </w:r>
            <w:r>
              <w:rPr>
                <w:rFonts w:hint="eastAsia" w:hAnsi="宋体" w:cs="宋体"/>
                <w:color w:val="auto"/>
                <w:sz w:val="21"/>
                <w:highlight w:val="none"/>
              </w:rPr>
              <w:t xml:space="preserve"> </w:t>
            </w:r>
          </w:p>
          <w:p w14:paraId="327CB325">
            <w:pPr>
              <w:pStyle w:val="14"/>
              <w:rPr>
                <w:rFonts w:hAnsi="宋体" w:cs="宋体"/>
                <w:color w:val="auto"/>
                <w:sz w:val="21"/>
                <w:highlight w:val="none"/>
              </w:rPr>
            </w:pPr>
            <w:r>
              <w:rPr>
                <w:rFonts w:hint="eastAsia" w:hAnsi="宋体" w:cs="宋体"/>
                <w:color w:val="auto"/>
                <w:sz w:val="21"/>
                <w:highlight w:val="none"/>
              </w:rPr>
              <w:t>招选人地址：</w:t>
            </w:r>
            <w:r>
              <w:rPr>
                <w:rFonts w:hint="eastAsia" w:hAnsi="宋体" w:cs="宋体"/>
                <w:color w:val="auto"/>
                <w:sz w:val="21"/>
                <w:highlight w:val="none"/>
                <w:u w:val="single"/>
              </w:rPr>
              <w:t xml:space="preserve">                </w:t>
            </w:r>
          </w:p>
          <w:p w14:paraId="34488A22">
            <w:pPr>
              <w:pStyle w:val="14"/>
              <w:rPr>
                <w:rFonts w:hint="eastAsia" w:hAnsi="宋体" w:cs="宋体"/>
                <w:color w:val="auto"/>
                <w:sz w:val="21"/>
                <w:highlight w:val="none"/>
              </w:rPr>
            </w:pPr>
            <w:r>
              <w:rPr>
                <w:rFonts w:hint="eastAsia" w:hAnsi="宋体" w:cs="宋体"/>
                <w:color w:val="auto"/>
                <w:sz w:val="21"/>
                <w:highlight w:val="none"/>
              </w:rPr>
              <w:t>四川宜叙高速公路开发有限责任公司（长宁</w:t>
            </w:r>
            <w:r>
              <w:rPr>
                <w:rFonts w:hint="eastAsia" w:hAnsi="宋体" w:cs="宋体"/>
                <w:color w:val="auto"/>
                <w:sz w:val="21"/>
                <w:highlight w:val="none"/>
                <w:lang w:val="en-US" w:eastAsia="zh-CN"/>
              </w:rPr>
              <w:t>段</w:t>
            </w:r>
            <w:r>
              <w:rPr>
                <w:rFonts w:hint="eastAsia" w:hAnsi="宋体" w:cs="宋体"/>
                <w:color w:val="auto"/>
                <w:sz w:val="21"/>
                <w:highlight w:val="none"/>
              </w:rPr>
              <w:t>）土地测绘和地籍调查公开招选比选文件</w:t>
            </w:r>
          </w:p>
          <w:p w14:paraId="27A14E95">
            <w:pPr>
              <w:pStyle w:val="14"/>
              <w:rPr>
                <w:rFonts w:hAnsi="宋体" w:cs="宋体"/>
                <w:color w:val="auto"/>
                <w:sz w:val="21"/>
                <w:highlight w:val="none"/>
              </w:rPr>
            </w:pPr>
            <w:r>
              <w:rPr>
                <w:rFonts w:hint="eastAsia" w:hAnsi="宋体" w:cs="宋体"/>
                <w:color w:val="auto"/>
                <w:sz w:val="21"/>
                <w:highlight w:val="none"/>
              </w:rPr>
              <w:t>在</w:t>
            </w:r>
            <w:r>
              <w:rPr>
                <w:rFonts w:hint="eastAsia" w:hAnsi="宋体" w:cs="宋体"/>
                <w:color w:val="auto"/>
                <w:sz w:val="21"/>
                <w:highlight w:val="none"/>
                <w:u w:val="single"/>
              </w:rPr>
              <w:t xml:space="preserve"> </w:t>
            </w:r>
            <w:r>
              <w:rPr>
                <w:rFonts w:hint="eastAsia" w:hAnsi="宋体" w:cs="宋体"/>
                <w:color w:val="auto"/>
                <w:sz w:val="21"/>
                <w:highlight w:val="none"/>
                <w:u w:val="single"/>
                <w:lang w:val="en-US" w:eastAsia="zh-CN"/>
              </w:rPr>
              <w:t>2024</w:t>
            </w:r>
            <w:r>
              <w:rPr>
                <w:rFonts w:hint="eastAsia" w:hAnsi="宋体" w:cs="宋体"/>
                <w:color w:val="auto"/>
                <w:sz w:val="21"/>
                <w:highlight w:val="none"/>
                <w:u w:val="single"/>
              </w:rPr>
              <w:t xml:space="preserve"> </w:t>
            </w:r>
            <w:r>
              <w:rPr>
                <w:rFonts w:hint="eastAsia" w:hAnsi="宋体" w:cs="宋体"/>
                <w:color w:val="auto"/>
                <w:sz w:val="21"/>
                <w:highlight w:val="none"/>
              </w:rPr>
              <w:t>年</w:t>
            </w:r>
            <w:r>
              <w:rPr>
                <w:rFonts w:hint="eastAsia" w:hAnsi="宋体" w:cs="宋体"/>
                <w:color w:val="auto"/>
                <w:sz w:val="21"/>
                <w:highlight w:val="none"/>
                <w:u w:val="single"/>
              </w:rPr>
              <w:t xml:space="preserve"> </w:t>
            </w:r>
            <w:r>
              <w:rPr>
                <w:rFonts w:hint="eastAsia" w:hAnsi="宋体" w:cs="宋体"/>
                <w:color w:val="auto"/>
                <w:sz w:val="21"/>
                <w:highlight w:val="none"/>
                <w:u w:val="single"/>
                <w:lang w:val="en-US" w:eastAsia="zh-CN"/>
              </w:rPr>
              <w:t>12</w:t>
            </w:r>
            <w:r>
              <w:rPr>
                <w:rFonts w:hint="eastAsia" w:hAnsi="宋体" w:cs="宋体"/>
                <w:color w:val="auto"/>
                <w:sz w:val="21"/>
                <w:highlight w:val="none"/>
                <w:u w:val="single"/>
              </w:rPr>
              <w:t xml:space="preserve"> </w:t>
            </w:r>
            <w:r>
              <w:rPr>
                <w:rFonts w:hint="eastAsia" w:hAnsi="宋体" w:cs="宋体"/>
                <w:color w:val="auto"/>
                <w:sz w:val="21"/>
                <w:highlight w:val="none"/>
              </w:rPr>
              <w:t>月</w:t>
            </w:r>
            <w:r>
              <w:rPr>
                <w:rFonts w:hint="eastAsia" w:hAnsi="宋体" w:cs="宋体"/>
                <w:color w:val="auto"/>
                <w:sz w:val="21"/>
                <w:highlight w:val="none"/>
                <w:u w:val="single"/>
              </w:rPr>
              <w:t xml:space="preserve">  </w:t>
            </w:r>
            <w:r>
              <w:rPr>
                <w:rFonts w:hint="eastAsia" w:hAnsi="宋体" w:cs="宋体"/>
                <w:color w:val="auto"/>
                <w:sz w:val="21"/>
                <w:highlight w:val="none"/>
                <w:u w:val="single"/>
                <w:lang w:val="en-US" w:eastAsia="zh-CN"/>
              </w:rPr>
              <w:t>2</w:t>
            </w:r>
            <w:r>
              <w:rPr>
                <w:rFonts w:hint="eastAsia" w:hAnsi="宋体" w:cs="宋体"/>
                <w:color w:val="auto"/>
                <w:sz w:val="21"/>
                <w:highlight w:val="none"/>
                <w:u w:val="single"/>
              </w:rPr>
              <w:t xml:space="preserve">  </w:t>
            </w:r>
            <w:r>
              <w:rPr>
                <w:rFonts w:hint="eastAsia" w:hAnsi="宋体" w:cs="宋体"/>
                <w:color w:val="auto"/>
                <w:sz w:val="21"/>
                <w:highlight w:val="none"/>
              </w:rPr>
              <w:t>日</w:t>
            </w:r>
            <w:r>
              <w:rPr>
                <w:rFonts w:hint="eastAsia" w:hAnsi="宋体" w:cs="宋体"/>
                <w:color w:val="auto"/>
                <w:sz w:val="21"/>
                <w:highlight w:val="none"/>
                <w:u w:val="single"/>
              </w:rPr>
              <w:t xml:space="preserve">  </w:t>
            </w:r>
            <w:r>
              <w:rPr>
                <w:rFonts w:hint="eastAsia" w:hAnsi="宋体" w:cs="宋体"/>
                <w:color w:val="auto"/>
                <w:sz w:val="21"/>
                <w:highlight w:val="none"/>
                <w:u w:val="single"/>
                <w:lang w:val="en-US" w:eastAsia="zh-CN"/>
              </w:rPr>
              <w:t>10</w:t>
            </w:r>
            <w:r>
              <w:rPr>
                <w:rFonts w:hint="eastAsia" w:hAnsi="宋体" w:cs="宋体"/>
                <w:color w:val="auto"/>
                <w:sz w:val="21"/>
                <w:highlight w:val="none"/>
                <w:u w:val="single"/>
              </w:rPr>
              <w:t xml:space="preserve">  </w:t>
            </w:r>
            <w:r>
              <w:rPr>
                <w:rFonts w:hint="eastAsia" w:hAnsi="宋体" w:cs="宋体"/>
                <w:color w:val="auto"/>
                <w:sz w:val="21"/>
                <w:highlight w:val="none"/>
              </w:rPr>
              <w:t>时</w:t>
            </w:r>
            <w:r>
              <w:rPr>
                <w:rFonts w:hint="eastAsia" w:hAnsi="宋体" w:cs="宋体"/>
                <w:color w:val="auto"/>
                <w:sz w:val="21"/>
                <w:highlight w:val="none"/>
                <w:u w:val="single"/>
              </w:rPr>
              <w:t xml:space="preserve">  </w:t>
            </w:r>
            <w:r>
              <w:rPr>
                <w:rFonts w:hint="eastAsia" w:hAnsi="宋体" w:cs="宋体"/>
                <w:color w:val="auto"/>
                <w:sz w:val="21"/>
                <w:highlight w:val="none"/>
                <w:u w:val="single"/>
                <w:lang w:val="en-US" w:eastAsia="zh-CN"/>
              </w:rPr>
              <w:t>30</w:t>
            </w:r>
            <w:r>
              <w:rPr>
                <w:rFonts w:hint="eastAsia" w:hAnsi="宋体" w:cs="宋体"/>
                <w:color w:val="auto"/>
                <w:sz w:val="21"/>
                <w:highlight w:val="none"/>
                <w:u w:val="single"/>
              </w:rPr>
              <w:t xml:space="preserve">  </w:t>
            </w:r>
            <w:r>
              <w:rPr>
                <w:rFonts w:hint="eastAsia" w:hAnsi="宋体" w:cs="宋体"/>
                <w:color w:val="auto"/>
                <w:sz w:val="21"/>
                <w:highlight w:val="none"/>
              </w:rPr>
              <w:t>分前不得开启</w:t>
            </w:r>
          </w:p>
          <w:p w14:paraId="38D1FB4E">
            <w:pPr>
              <w:pStyle w:val="14"/>
              <w:rPr>
                <w:rFonts w:hAnsi="宋体" w:cs="宋体"/>
                <w:color w:val="auto"/>
                <w:sz w:val="21"/>
                <w:highlight w:val="none"/>
              </w:rPr>
            </w:pPr>
            <w:r>
              <w:rPr>
                <w:rFonts w:hint="eastAsia" w:hAnsi="宋体" w:cs="宋体"/>
                <w:color w:val="auto"/>
                <w:sz w:val="21"/>
                <w:highlight w:val="none"/>
              </w:rPr>
              <w:t>比选人名称：</w:t>
            </w:r>
            <w:r>
              <w:rPr>
                <w:rFonts w:hint="eastAsia" w:hAnsi="宋体" w:cs="宋体"/>
                <w:color w:val="auto"/>
                <w:sz w:val="21"/>
                <w:highlight w:val="none"/>
                <w:u w:val="single"/>
              </w:rPr>
              <w:t xml:space="preserve">             </w:t>
            </w:r>
          </w:p>
        </w:tc>
      </w:tr>
      <w:tr w14:paraId="3AC19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12" w:type="dxa"/>
            <w:vAlign w:val="center"/>
          </w:tcPr>
          <w:p w14:paraId="5D8B1CC2">
            <w:pPr>
              <w:jc w:val="center"/>
              <w:rPr>
                <w:rFonts w:ascii="宋体" w:hAnsi="宋体" w:cs="宋体"/>
                <w:color w:val="auto"/>
                <w:sz w:val="21"/>
                <w:szCs w:val="21"/>
                <w:highlight w:val="none"/>
              </w:rPr>
            </w:pPr>
            <w:r>
              <w:rPr>
                <w:rFonts w:hint="eastAsia" w:ascii="宋体" w:hAnsi="宋体" w:cs="宋体"/>
                <w:color w:val="auto"/>
                <w:sz w:val="21"/>
                <w:szCs w:val="21"/>
                <w:highlight w:val="none"/>
              </w:rPr>
              <w:t>4.2.2</w:t>
            </w:r>
          </w:p>
        </w:tc>
        <w:tc>
          <w:tcPr>
            <w:tcW w:w="2172" w:type="dxa"/>
            <w:vAlign w:val="center"/>
          </w:tcPr>
          <w:p w14:paraId="01D41485">
            <w:pPr>
              <w:jc w:val="both"/>
              <w:rPr>
                <w:rFonts w:ascii="宋体" w:hAnsi="宋体" w:cs="宋体"/>
                <w:color w:val="auto"/>
                <w:sz w:val="21"/>
                <w:szCs w:val="21"/>
                <w:highlight w:val="none"/>
              </w:rPr>
            </w:pPr>
            <w:r>
              <w:rPr>
                <w:rFonts w:hint="eastAsia" w:ascii="宋体" w:hAnsi="宋体" w:cs="宋体"/>
                <w:color w:val="auto"/>
                <w:sz w:val="21"/>
                <w:szCs w:val="21"/>
                <w:highlight w:val="none"/>
              </w:rPr>
              <w:t>递交比选文件地点</w:t>
            </w:r>
          </w:p>
        </w:tc>
        <w:tc>
          <w:tcPr>
            <w:tcW w:w="6379" w:type="dxa"/>
            <w:vAlign w:val="center"/>
          </w:tcPr>
          <w:p w14:paraId="076845FB">
            <w:pPr>
              <w:jc w:val="both"/>
              <w:rPr>
                <w:rFonts w:ascii="宋体" w:hAnsi="宋体" w:cs="宋体"/>
                <w:color w:val="auto"/>
                <w:sz w:val="21"/>
                <w:szCs w:val="21"/>
                <w:highlight w:val="none"/>
              </w:rPr>
            </w:pPr>
            <w:r>
              <w:rPr>
                <w:rFonts w:hint="eastAsia" w:ascii="宋体" w:hAnsi="宋体" w:cs="宋体"/>
                <w:color w:val="auto"/>
                <w:sz w:val="21"/>
                <w:szCs w:val="21"/>
                <w:highlight w:val="none"/>
              </w:rPr>
              <w:t>见招选公告</w:t>
            </w:r>
          </w:p>
        </w:tc>
      </w:tr>
      <w:tr w14:paraId="1005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12" w:type="dxa"/>
            <w:vAlign w:val="center"/>
          </w:tcPr>
          <w:p w14:paraId="1BDDDC70">
            <w:pPr>
              <w:jc w:val="center"/>
              <w:rPr>
                <w:rFonts w:ascii="宋体" w:hAnsi="宋体" w:cs="宋体"/>
                <w:color w:val="auto"/>
                <w:sz w:val="21"/>
                <w:szCs w:val="21"/>
                <w:highlight w:val="none"/>
              </w:rPr>
            </w:pPr>
            <w:r>
              <w:rPr>
                <w:rFonts w:hint="eastAsia" w:ascii="宋体" w:hAnsi="宋体" w:cs="宋体"/>
                <w:color w:val="auto"/>
                <w:sz w:val="21"/>
                <w:szCs w:val="21"/>
                <w:highlight w:val="none"/>
              </w:rPr>
              <w:t>4.2.3</w:t>
            </w:r>
          </w:p>
        </w:tc>
        <w:tc>
          <w:tcPr>
            <w:tcW w:w="2172" w:type="dxa"/>
            <w:vAlign w:val="center"/>
          </w:tcPr>
          <w:p w14:paraId="53BD49DC">
            <w:pPr>
              <w:jc w:val="both"/>
              <w:rPr>
                <w:rFonts w:ascii="宋体" w:hAnsi="宋体" w:cs="宋体"/>
                <w:color w:val="auto"/>
                <w:sz w:val="21"/>
                <w:szCs w:val="21"/>
                <w:highlight w:val="none"/>
              </w:rPr>
            </w:pPr>
            <w:r>
              <w:rPr>
                <w:rFonts w:hint="eastAsia" w:ascii="宋体" w:hAnsi="宋体" w:cs="宋体"/>
                <w:color w:val="auto"/>
                <w:sz w:val="21"/>
                <w:szCs w:val="21"/>
                <w:highlight w:val="none"/>
              </w:rPr>
              <w:t>是否退还比选文件</w:t>
            </w:r>
          </w:p>
        </w:tc>
        <w:tc>
          <w:tcPr>
            <w:tcW w:w="6379" w:type="dxa"/>
            <w:vAlign w:val="center"/>
          </w:tcPr>
          <w:p w14:paraId="67123D73">
            <w:pPr>
              <w:jc w:val="both"/>
              <w:rPr>
                <w:rFonts w:ascii="宋体" w:hAnsi="宋体" w:cs="宋体"/>
                <w:color w:val="auto"/>
                <w:sz w:val="21"/>
                <w:szCs w:val="21"/>
                <w:highlight w:val="none"/>
              </w:rPr>
            </w:pPr>
            <w:r>
              <w:rPr>
                <w:rFonts w:hint="eastAsia" w:ascii="宋体" w:hAnsi="宋体" w:cs="宋体"/>
                <w:color w:val="auto"/>
                <w:sz w:val="21"/>
                <w:szCs w:val="21"/>
                <w:highlight w:val="none"/>
              </w:rPr>
              <w:t>否</w:t>
            </w:r>
          </w:p>
        </w:tc>
      </w:tr>
      <w:tr w14:paraId="75CA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vAlign w:val="center"/>
          </w:tcPr>
          <w:p w14:paraId="11552DD7">
            <w:pPr>
              <w:jc w:val="center"/>
              <w:rPr>
                <w:rFonts w:ascii="宋体" w:hAnsi="宋体" w:cs="宋体"/>
                <w:color w:val="auto"/>
                <w:sz w:val="21"/>
                <w:szCs w:val="21"/>
                <w:highlight w:val="none"/>
              </w:rPr>
            </w:pPr>
            <w:r>
              <w:rPr>
                <w:rFonts w:hint="eastAsia" w:ascii="宋体" w:hAnsi="宋体" w:cs="宋体"/>
                <w:color w:val="auto"/>
                <w:sz w:val="21"/>
                <w:szCs w:val="21"/>
                <w:highlight w:val="none"/>
              </w:rPr>
              <w:t>4.2.4</w:t>
            </w:r>
          </w:p>
        </w:tc>
        <w:tc>
          <w:tcPr>
            <w:tcW w:w="2172" w:type="dxa"/>
            <w:vAlign w:val="center"/>
          </w:tcPr>
          <w:p w14:paraId="34B26D8D">
            <w:pPr>
              <w:jc w:val="center"/>
              <w:rPr>
                <w:rFonts w:ascii="宋体" w:hAnsi="宋体" w:cs="宋体"/>
                <w:color w:val="auto"/>
                <w:sz w:val="21"/>
                <w:szCs w:val="21"/>
                <w:highlight w:val="none"/>
              </w:rPr>
            </w:pPr>
            <w:r>
              <w:rPr>
                <w:rFonts w:hint="eastAsia" w:ascii="宋体" w:hAnsi="宋体" w:cs="宋体"/>
                <w:color w:val="auto"/>
                <w:sz w:val="21"/>
                <w:szCs w:val="21"/>
                <w:highlight w:val="none"/>
              </w:rPr>
              <w:t>比选文件的拒收</w:t>
            </w:r>
          </w:p>
        </w:tc>
        <w:tc>
          <w:tcPr>
            <w:tcW w:w="6379" w:type="dxa"/>
          </w:tcPr>
          <w:p w14:paraId="5C3046F7">
            <w:pPr>
              <w:rPr>
                <w:rFonts w:ascii="宋体" w:hAnsi="宋体" w:cs="宋体"/>
                <w:color w:val="auto"/>
                <w:sz w:val="21"/>
                <w:szCs w:val="21"/>
                <w:highlight w:val="none"/>
              </w:rPr>
            </w:pPr>
            <w:r>
              <w:rPr>
                <w:rFonts w:hint="eastAsia" w:ascii="宋体" w:hAnsi="宋体" w:cs="宋体"/>
                <w:color w:val="auto"/>
                <w:sz w:val="21"/>
                <w:szCs w:val="21"/>
                <w:highlight w:val="none"/>
              </w:rPr>
              <w:t>本款补充为：</w:t>
            </w:r>
          </w:p>
          <w:p w14:paraId="0DE89956">
            <w:pPr>
              <w:rPr>
                <w:rFonts w:ascii="宋体" w:hAnsi="宋体" w:cs="宋体"/>
                <w:color w:val="auto"/>
                <w:sz w:val="21"/>
                <w:szCs w:val="21"/>
                <w:highlight w:val="none"/>
              </w:rPr>
            </w:pPr>
            <w:r>
              <w:rPr>
                <w:rFonts w:hint="eastAsia" w:ascii="宋体" w:hAnsi="宋体" w:cs="宋体"/>
                <w:color w:val="auto"/>
                <w:sz w:val="21"/>
                <w:szCs w:val="21"/>
                <w:highlight w:val="none"/>
              </w:rPr>
              <w:t>（1）逾期送达的。</w:t>
            </w:r>
          </w:p>
          <w:p w14:paraId="0C7F9CAE">
            <w:pPr>
              <w:rPr>
                <w:rFonts w:ascii="宋体" w:hAnsi="宋体" w:cs="宋体"/>
                <w:color w:val="auto"/>
                <w:sz w:val="21"/>
                <w:szCs w:val="21"/>
                <w:highlight w:val="none"/>
              </w:rPr>
            </w:pPr>
            <w:r>
              <w:rPr>
                <w:rFonts w:hint="eastAsia" w:ascii="宋体" w:hAnsi="宋体" w:cs="宋体"/>
                <w:color w:val="auto"/>
                <w:sz w:val="21"/>
                <w:szCs w:val="21"/>
                <w:highlight w:val="none"/>
              </w:rPr>
              <w:t>（2）未送达指定地点的。</w:t>
            </w:r>
          </w:p>
          <w:p w14:paraId="31AA24FA">
            <w:pPr>
              <w:rPr>
                <w:rFonts w:ascii="宋体" w:hAnsi="宋体" w:cs="宋体"/>
                <w:color w:val="auto"/>
                <w:sz w:val="21"/>
                <w:szCs w:val="21"/>
                <w:highlight w:val="none"/>
              </w:rPr>
            </w:pPr>
            <w:r>
              <w:rPr>
                <w:rFonts w:hint="eastAsia" w:ascii="宋体" w:hAnsi="宋体" w:cs="宋体"/>
                <w:color w:val="auto"/>
                <w:sz w:val="21"/>
                <w:szCs w:val="21"/>
                <w:highlight w:val="none"/>
              </w:rPr>
              <w:t>（3）未按照本比选人须知前附表4.1.1、4.1.2款要求密封和标记的。</w:t>
            </w:r>
          </w:p>
        </w:tc>
      </w:tr>
      <w:tr w14:paraId="4C83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12" w:type="dxa"/>
            <w:vAlign w:val="center"/>
          </w:tcPr>
          <w:p w14:paraId="55E5A3AF">
            <w:pPr>
              <w:jc w:val="center"/>
              <w:rPr>
                <w:rFonts w:ascii="宋体" w:hAnsi="宋体" w:cs="宋体"/>
                <w:color w:val="auto"/>
                <w:sz w:val="21"/>
                <w:szCs w:val="21"/>
                <w:highlight w:val="none"/>
              </w:rPr>
            </w:pPr>
            <w:r>
              <w:rPr>
                <w:rFonts w:hint="eastAsia" w:ascii="宋体" w:hAnsi="宋体" w:cs="宋体"/>
                <w:color w:val="auto"/>
                <w:sz w:val="21"/>
                <w:szCs w:val="21"/>
                <w:highlight w:val="none"/>
              </w:rPr>
              <w:t>5.1</w:t>
            </w:r>
          </w:p>
        </w:tc>
        <w:tc>
          <w:tcPr>
            <w:tcW w:w="2172" w:type="dxa"/>
            <w:vAlign w:val="center"/>
          </w:tcPr>
          <w:p w14:paraId="5CE7FADC">
            <w:pPr>
              <w:jc w:val="center"/>
              <w:rPr>
                <w:rFonts w:ascii="宋体" w:hAnsi="宋体" w:cs="宋体"/>
                <w:color w:val="auto"/>
                <w:sz w:val="21"/>
                <w:szCs w:val="21"/>
                <w:highlight w:val="none"/>
              </w:rPr>
            </w:pPr>
            <w:r>
              <w:rPr>
                <w:rFonts w:hint="eastAsia" w:ascii="宋体" w:hAnsi="宋体" w:cs="宋体"/>
                <w:color w:val="auto"/>
                <w:sz w:val="21"/>
                <w:szCs w:val="21"/>
                <w:highlight w:val="none"/>
              </w:rPr>
              <w:t>开标时间和地点</w:t>
            </w:r>
          </w:p>
        </w:tc>
        <w:tc>
          <w:tcPr>
            <w:tcW w:w="6379" w:type="dxa"/>
          </w:tcPr>
          <w:p w14:paraId="67BA4CD9">
            <w:pPr>
              <w:numPr>
                <w:ilvl w:val="0"/>
                <w:numId w:val="1"/>
              </w:numPr>
              <w:rPr>
                <w:rFonts w:ascii="宋体" w:hAnsi="宋体" w:cs="宋体"/>
                <w:color w:val="auto"/>
                <w:sz w:val="21"/>
                <w:szCs w:val="21"/>
                <w:highlight w:val="none"/>
              </w:rPr>
            </w:pPr>
            <w:r>
              <w:rPr>
                <w:rFonts w:hint="eastAsia" w:ascii="宋体" w:hAnsi="宋体" w:cs="宋体"/>
                <w:color w:val="auto"/>
                <w:sz w:val="21"/>
                <w:szCs w:val="21"/>
                <w:highlight w:val="none"/>
              </w:rPr>
              <w:t>开标时间：详见招标公告</w:t>
            </w:r>
          </w:p>
          <w:p w14:paraId="17ACB5C6">
            <w:pPr>
              <w:numPr>
                <w:ilvl w:val="0"/>
                <w:numId w:val="1"/>
              </w:numPr>
              <w:rPr>
                <w:rFonts w:ascii="宋体" w:hAnsi="宋体" w:cs="宋体"/>
                <w:color w:val="auto"/>
                <w:sz w:val="21"/>
                <w:szCs w:val="21"/>
                <w:highlight w:val="none"/>
              </w:rPr>
            </w:pPr>
            <w:r>
              <w:rPr>
                <w:rFonts w:hint="eastAsia" w:ascii="宋体" w:hAnsi="宋体" w:cs="宋体"/>
                <w:color w:val="auto"/>
                <w:sz w:val="21"/>
                <w:szCs w:val="21"/>
                <w:highlight w:val="none"/>
              </w:rPr>
              <w:t>开标地点：详见招标公告</w:t>
            </w:r>
          </w:p>
        </w:tc>
      </w:tr>
      <w:tr w14:paraId="2BEC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912" w:type="dxa"/>
            <w:vAlign w:val="center"/>
          </w:tcPr>
          <w:p w14:paraId="3B64DED5">
            <w:pPr>
              <w:jc w:val="center"/>
              <w:rPr>
                <w:rFonts w:ascii="宋体" w:hAnsi="宋体" w:cs="宋体"/>
                <w:color w:val="auto"/>
                <w:sz w:val="21"/>
                <w:szCs w:val="21"/>
                <w:highlight w:val="none"/>
              </w:rPr>
            </w:pPr>
            <w:r>
              <w:rPr>
                <w:rFonts w:hint="eastAsia" w:ascii="宋体" w:hAnsi="宋体" w:cs="宋体"/>
                <w:color w:val="auto"/>
                <w:sz w:val="21"/>
                <w:szCs w:val="21"/>
                <w:highlight w:val="none"/>
              </w:rPr>
              <w:t>5.2.1</w:t>
            </w:r>
          </w:p>
        </w:tc>
        <w:tc>
          <w:tcPr>
            <w:tcW w:w="2172" w:type="dxa"/>
            <w:vAlign w:val="center"/>
          </w:tcPr>
          <w:p w14:paraId="08DB4FC2">
            <w:pPr>
              <w:jc w:val="center"/>
              <w:rPr>
                <w:rFonts w:ascii="宋体" w:hAnsi="宋体" w:cs="宋体"/>
                <w:color w:val="auto"/>
                <w:sz w:val="21"/>
                <w:szCs w:val="21"/>
                <w:highlight w:val="none"/>
              </w:rPr>
            </w:pPr>
            <w:r>
              <w:rPr>
                <w:rFonts w:hint="eastAsia" w:ascii="宋体" w:hAnsi="宋体" w:cs="宋体"/>
                <w:color w:val="auto"/>
                <w:sz w:val="21"/>
                <w:szCs w:val="21"/>
                <w:highlight w:val="none"/>
              </w:rPr>
              <w:t>开标程序</w:t>
            </w:r>
          </w:p>
        </w:tc>
        <w:tc>
          <w:tcPr>
            <w:tcW w:w="6379" w:type="dxa"/>
          </w:tcPr>
          <w:p w14:paraId="19CEBF1A">
            <w:pPr>
              <w:rPr>
                <w:rFonts w:ascii="宋体" w:hAnsi="宋体" w:cs="宋体"/>
                <w:color w:val="auto"/>
                <w:sz w:val="21"/>
                <w:szCs w:val="21"/>
                <w:highlight w:val="none"/>
              </w:rPr>
            </w:pPr>
            <w:r>
              <w:rPr>
                <w:rFonts w:hint="eastAsia" w:ascii="宋体" w:hAnsi="宋体" w:cs="宋体"/>
                <w:color w:val="auto"/>
                <w:sz w:val="21"/>
                <w:szCs w:val="21"/>
                <w:highlight w:val="none"/>
              </w:rPr>
              <w:t xml:space="preserve">（1）密封情况检查：由招选人代表、现场监督检查比选文件的密封情况，并当场予以确认。当比选文件未按本须知4.1.1、 4.1.2 款要求密封时，将当场确认，不予开标，原封退还。   </w:t>
            </w:r>
          </w:p>
          <w:p w14:paraId="221A283E">
            <w:pPr>
              <w:rPr>
                <w:rFonts w:ascii="宋体" w:hAnsi="宋体" w:cs="宋体"/>
                <w:color w:val="auto"/>
                <w:sz w:val="21"/>
                <w:szCs w:val="21"/>
                <w:highlight w:val="none"/>
              </w:rPr>
            </w:pPr>
            <w:r>
              <w:rPr>
                <w:rFonts w:hint="eastAsia" w:ascii="宋体" w:hAnsi="宋体" w:cs="宋体"/>
                <w:color w:val="auto"/>
                <w:sz w:val="21"/>
                <w:szCs w:val="21"/>
                <w:highlight w:val="none"/>
              </w:rPr>
              <w:t xml:space="preserve">（2）开标顺序：随机，当标段比选人少于3家（不含3家）将不予开标，原封退还。 </w:t>
            </w:r>
          </w:p>
        </w:tc>
      </w:tr>
      <w:tr w14:paraId="0044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12" w:type="dxa"/>
            <w:vAlign w:val="center"/>
          </w:tcPr>
          <w:p w14:paraId="15DC1F6F">
            <w:pPr>
              <w:jc w:val="center"/>
              <w:rPr>
                <w:rFonts w:ascii="宋体" w:hAnsi="宋体" w:cs="宋体"/>
                <w:color w:val="auto"/>
                <w:sz w:val="21"/>
                <w:szCs w:val="21"/>
                <w:highlight w:val="none"/>
              </w:rPr>
            </w:pPr>
            <w:r>
              <w:rPr>
                <w:rFonts w:hint="eastAsia" w:ascii="宋体" w:hAnsi="宋体" w:cs="宋体"/>
                <w:color w:val="auto"/>
                <w:sz w:val="21"/>
                <w:szCs w:val="21"/>
                <w:highlight w:val="none"/>
              </w:rPr>
              <w:t>6.1.1</w:t>
            </w:r>
          </w:p>
        </w:tc>
        <w:tc>
          <w:tcPr>
            <w:tcW w:w="2172" w:type="dxa"/>
            <w:vAlign w:val="center"/>
          </w:tcPr>
          <w:p w14:paraId="061D5789">
            <w:pPr>
              <w:jc w:val="center"/>
              <w:rPr>
                <w:rFonts w:ascii="宋体" w:hAnsi="宋体" w:cs="宋体"/>
                <w:color w:val="auto"/>
                <w:sz w:val="21"/>
                <w:szCs w:val="21"/>
                <w:highlight w:val="none"/>
              </w:rPr>
            </w:pPr>
            <w:r>
              <w:rPr>
                <w:rFonts w:hint="eastAsia" w:ascii="宋体" w:hAnsi="宋体" w:cs="宋体"/>
                <w:color w:val="auto"/>
                <w:sz w:val="21"/>
                <w:szCs w:val="21"/>
                <w:highlight w:val="none"/>
              </w:rPr>
              <w:t>招选委员会的组建</w:t>
            </w:r>
          </w:p>
        </w:tc>
        <w:tc>
          <w:tcPr>
            <w:tcW w:w="6379" w:type="dxa"/>
            <w:vAlign w:val="center"/>
          </w:tcPr>
          <w:p w14:paraId="7B2D1B8E">
            <w:pPr>
              <w:jc w:val="both"/>
              <w:rPr>
                <w:rFonts w:ascii="宋体" w:hAnsi="宋体" w:cs="宋体"/>
                <w:color w:val="auto"/>
                <w:sz w:val="21"/>
                <w:szCs w:val="21"/>
                <w:highlight w:val="none"/>
              </w:rPr>
            </w:pPr>
            <w:r>
              <w:rPr>
                <w:rFonts w:hint="eastAsia" w:ascii="宋体" w:hAnsi="宋体" w:cs="宋体"/>
                <w:color w:val="auto"/>
                <w:sz w:val="21"/>
                <w:szCs w:val="21"/>
                <w:highlight w:val="none"/>
              </w:rPr>
              <w:t>招选委员会构成：5人，监督人：1人</w:t>
            </w:r>
          </w:p>
        </w:tc>
      </w:tr>
      <w:tr w14:paraId="3466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12" w:type="dxa"/>
            <w:vAlign w:val="center"/>
          </w:tcPr>
          <w:p w14:paraId="39B6ABB7">
            <w:pPr>
              <w:jc w:val="center"/>
              <w:rPr>
                <w:rFonts w:ascii="宋体" w:hAnsi="宋体" w:cs="宋体"/>
                <w:color w:val="auto"/>
                <w:sz w:val="21"/>
                <w:szCs w:val="21"/>
                <w:highlight w:val="none"/>
              </w:rPr>
            </w:pPr>
            <w:r>
              <w:rPr>
                <w:rFonts w:hint="eastAsia" w:ascii="宋体" w:hAnsi="宋体" w:cs="宋体"/>
                <w:color w:val="auto"/>
                <w:sz w:val="21"/>
                <w:szCs w:val="21"/>
                <w:highlight w:val="none"/>
              </w:rPr>
              <w:t>6.1.2</w:t>
            </w:r>
          </w:p>
        </w:tc>
        <w:tc>
          <w:tcPr>
            <w:tcW w:w="2172" w:type="dxa"/>
            <w:vAlign w:val="center"/>
          </w:tcPr>
          <w:p w14:paraId="4098FE84">
            <w:pPr>
              <w:jc w:val="center"/>
              <w:rPr>
                <w:rFonts w:ascii="宋体" w:hAnsi="宋体" w:cs="宋体"/>
                <w:color w:val="auto"/>
                <w:sz w:val="21"/>
                <w:szCs w:val="21"/>
                <w:highlight w:val="none"/>
              </w:rPr>
            </w:pPr>
            <w:r>
              <w:rPr>
                <w:rFonts w:hint="eastAsia" w:ascii="宋体" w:hAnsi="宋体" w:cs="宋体"/>
                <w:color w:val="auto"/>
                <w:sz w:val="21"/>
                <w:szCs w:val="21"/>
                <w:highlight w:val="none"/>
              </w:rPr>
              <w:t>招选委员会推荐的中选候选人的人数</w:t>
            </w:r>
          </w:p>
        </w:tc>
        <w:tc>
          <w:tcPr>
            <w:tcW w:w="6379" w:type="dxa"/>
            <w:vAlign w:val="center"/>
          </w:tcPr>
          <w:p w14:paraId="68F1B7AA">
            <w:pPr>
              <w:jc w:val="both"/>
              <w:rPr>
                <w:rFonts w:ascii="宋体" w:hAnsi="宋体" w:cs="宋体"/>
                <w:color w:val="auto"/>
                <w:sz w:val="21"/>
                <w:szCs w:val="21"/>
                <w:highlight w:val="none"/>
              </w:rPr>
            </w:pPr>
            <w:r>
              <w:rPr>
                <w:rFonts w:hint="eastAsia" w:ascii="宋体" w:hAnsi="宋体" w:cs="宋体"/>
                <w:color w:val="auto"/>
                <w:sz w:val="21"/>
                <w:szCs w:val="21"/>
                <w:highlight w:val="none"/>
              </w:rPr>
              <w:t>3名（若不足3名，则按相应数量推荐）</w:t>
            </w:r>
          </w:p>
        </w:tc>
      </w:tr>
      <w:tr w14:paraId="5932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2" w:type="dxa"/>
            <w:vAlign w:val="center"/>
          </w:tcPr>
          <w:p w14:paraId="28873E8B">
            <w:pPr>
              <w:jc w:val="center"/>
              <w:rPr>
                <w:rFonts w:ascii="宋体" w:hAnsi="宋体" w:cs="宋体"/>
                <w:color w:val="auto"/>
                <w:sz w:val="21"/>
                <w:szCs w:val="21"/>
                <w:highlight w:val="none"/>
              </w:rPr>
            </w:pPr>
            <w:r>
              <w:rPr>
                <w:rFonts w:hint="eastAsia" w:ascii="宋体" w:hAnsi="宋体" w:cs="宋体"/>
                <w:color w:val="auto"/>
                <w:sz w:val="21"/>
                <w:szCs w:val="21"/>
                <w:highlight w:val="none"/>
              </w:rPr>
              <w:t>7.1.1</w:t>
            </w:r>
          </w:p>
        </w:tc>
        <w:tc>
          <w:tcPr>
            <w:tcW w:w="2172" w:type="dxa"/>
            <w:vAlign w:val="center"/>
          </w:tcPr>
          <w:p w14:paraId="4900707B">
            <w:pPr>
              <w:jc w:val="center"/>
              <w:rPr>
                <w:rFonts w:ascii="宋体" w:hAnsi="宋体" w:cs="宋体"/>
                <w:color w:val="auto"/>
                <w:sz w:val="21"/>
                <w:szCs w:val="21"/>
                <w:highlight w:val="none"/>
              </w:rPr>
            </w:pPr>
            <w:r>
              <w:rPr>
                <w:rFonts w:hint="eastAsia" w:ascii="宋体" w:hAnsi="宋体" w:cs="宋体"/>
                <w:color w:val="auto"/>
                <w:sz w:val="21"/>
                <w:szCs w:val="21"/>
                <w:highlight w:val="none"/>
              </w:rPr>
              <w:t>中选候选人公示媒介及期限</w:t>
            </w:r>
          </w:p>
        </w:tc>
        <w:tc>
          <w:tcPr>
            <w:tcW w:w="6379" w:type="dxa"/>
            <w:vAlign w:val="center"/>
          </w:tcPr>
          <w:p w14:paraId="0E64FFA1">
            <w:pPr>
              <w:rPr>
                <w:rFonts w:ascii="宋体" w:hAnsi="宋体" w:cs="宋体"/>
                <w:color w:val="auto"/>
                <w:sz w:val="21"/>
                <w:szCs w:val="21"/>
                <w:highlight w:val="none"/>
              </w:rPr>
            </w:pPr>
            <w:r>
              <w:rPr>
                <w:rFonts w:hint="eastAsia" w:ascii="宋体" w:hAnsi="宋体" w:cs="宋体"/>
                <w:b/>
                <w:bCs/>
                <w:color w:val="auto"/>
                <w:sz w:val="21"/>
                <w:szCs w:val="21"/>
                <w:highlight w:val="none"/>
              </w:rPr>
              <w:t>公示媒介：</w:t>
            </w:r>
            <w:r>
              <w:rPr>
                <w:rFonts w:hint="eastAsia" w:ascii="宋体" w:hAnsi="宋体" w:cs="宋体"/>
                <w:color w:val="auto"/>
                <w:sz w:val="21"/>
                <w:szCs w:val="21"/>
                <w:highlight w:val="none"/>
              </w:rPr>
              <w:t>宜泸宜叙公司官网（http://www.scylgsgl.com/）</w:t>
            </w:r>
          </w:p>
          <w:p w14:paraId="5CE955AF">
            <w:pPr>
              <w:rPr>
                <w:rFonts w:ascii="宋体" w:hAnsi="宋体" w:cs="宋体"/>
                <w:color w:val="auto"/>
                <w:sz w:val="21"/>
                <w:szCs w:val="21"/>
                <w:highlight w:val="none"/>
              </w:rPr>
            </w:pPr>
            <w:r>
              <w:rPr>
                <w:rFonts w:hint="eastAsia" w:ascii="宋体" w:hAnsi="宋体" w:cs="宋体"/>
                <w:b/>
                <w:bCs/>
                <w:color w:val="auto"/>
                <w:sz w:val="21"/>
                <w:szCs w:val="21"/>
                <w:highlight w:val="none"/>
              </w:rPr>
              <w:t>公示期限：</w:t>
            </w:r>
            <w:r>
              <w:rPr>
                <w:rFonts w:hint="eastAsia" w:ascii="宋体" w:hAnsi="宋体" w:cs="宋体"/>
                <w:color w:val="auto"/>
                <w:sz w:val="21"/>
                <w:szCs w:val="21"/>
                <w:highlight w:val="none"/>
              </w:rPr>
              <w:t>3个工作日</w:t>
            </w:r>
          </w:p>
        </w:tc>
      </w:tr>
      <w:tr w14:paraId="4A7A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vAlign w:val="center"/>
          </w:tcPr>
          <w:p w14:paraId="68ED1FD1">
            <w:pPr>
              <w:jc w:val="center"/>
              <w:rPr>
                <w:rFonts w:ascii="宋体" w:hAnsi="宋体" w:cs="宋体"/>
                <w:color w:val="auto"/>
                <w:sz w:val="21"/>
                <w:szCs w:val="21"/>
                <w:highlight w:val="none"/>
              </w:rPr>
            </w:pPr>
            <w:r>
              <w:rPr>
                <w:rFonts w:hint="eastAsia" w:ascii="宋体" w:hAnsi="宋体" w:cs="宋体"/>
                <w:color w:val="auto"/>
                <w:sz w:val="21"/>
                <w:szCs w:val="21"/>
                <w:highlight w:val="none"/>
              </w:rPr>
              <w:t>7.2.1</w:t>
            </w:r>
          </w:p>
        </w:tc>
        <w:tc>
          <w:tcPr>
            <w:tcW w:w="2172" w:type="dxa"/>
            <w:vAlign w:val="center"/>
          </w:tcPr>
          <w:p w14:paraId="53FD6A92">
            <w:pPr>
              <w:jc w:val="center"/>
              <w:rPr>
                <w:rFonts w:ascii="宋体" w:hAnsi="宋体" w:cs="宋体"/>
                <w:color w:val="auto"/>
                <w:sz w:val="21"/>
                <w:szCs w:val="21"/>
                <w:highlight w:val="none"/>
              </w:rPr>
            </w:pPr>
            <w:r>
              <w:rPr>
                <w:rFonts w:hint="eastAsia" w:ascii="宋体" w:hAnsi="宋体" w:cs="宋体"/>
                <w:color w:val="auto"/>
                <w:sz w:val="21"/>
                <w:szCs w:val="21"/>
                <w:highlight w:val="none"/>
              </w:rPr>
              <w:t>定选</w:t>
            </w:r>
          </w:p>
        </w:tc>
        <w:tc>
          <w:tcPr>
            <w:tcW w:w="6379" w:type="dxa"/>
          </w:tcPr>
          <w:p w14:paraId="579EB287">
            <w:pPr>
              <w:rPr>
                <w:rFonts w:ascii="宋体" w:hAnsi="宋体" w:cs="宋体"/>
                <w:color w:val="auto"/>
                <w:sz w:val="21"/>
                <w:szCs w:val="21"/>
                <w:highlight w:val="none"/>
              </w:rPr>
            </w:pPr>
            <w:r>
              <w:rPr>
                <w:rFonts w:hint="eastAsia" w:ascii="宋体" w:hAnsi="宋体" w:cs="宋体"/>
                <w:color w:val="auto"/>
                <w:sz w:val="21"/>
                <w:szCs w:val="21"/>
                <w:highlight w:val="none"/>
              </w:rPr>
              <w:t>（1）招选人委托招选委员会根据中选候选人排名第一的确定为中选人；</w:t>
            </w:r>
          </w:p>
          <w:p w14:paraId="6412CF8F">
            <w:pPr>
              <w:rPr>
                <w:rFonts w:ascii="宋体" w:hAnsi="宋体" w:cs="宋体"/>
                <w:color w:val="auto"/>
                <w:sz w:val="21"/>
                <w:szCs w:val="21"/>
                <w:highlight w:val="none"/>
              </w:rPr>
            </w:pPr>
            <w:r>
              <w:rPr>
                <w:rFonts w:hint="eastAsia" w:ascii="宋体" w:hAnsi="宋体" w:cs="宋体"/>
                <w:color w:val="auto"/>
                <w:sz w:val="21"/>
                <w:szCs w:val="21"/>
                <w:highlight w:val="none"/>
              </w:rPr>
              <w:t>（2）排名第一的中选候选人放弃中选；或不能履行合同；或不按招选文件要求提交履约担保；或被查实存在影响中选结果的违法行为等情形不符合中标条件的，招选人可以按照招选委员会提出的中选候选人名单排序依次确定其他中选候选人为中选人，也可以重新比选。</w:t>
            </w:r>
          </w:p>
        </w:tc>
      </w:tr>
      <w:tr w14:paraId="72A4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12" w:type="dxa"/>
            <w:vAlign w:val="center"/>
          </w:tcPr>
          <w:p w14:paraId="18A04A7E">
            <w:pPr>
              <w:jc w:val="center"/>
              <w:rPr>
                <w:rFonts w:ascii="宋体" w:hAnsi="宋体" w:cs="宋体"/>
                <w:color w:val="auto"/>
                <w:sz w:val="21"/>
                <w:szCs w:val="21"/>
                <w:highlight w:val="none"/>
              </w:rPr>
            </w:pPr>
            <w:r>
              <w:rPr>
                <w:rFonts w:hint="eastAsia" w:ascii="宋体" w:hAnsi="宋体" w:cs="宋体"/>
                <w:color w:val="auto"/>
                <w:sz w:val="21"/>
                <w:szCs w:val="21"/>
                <w:highlight w:val="none"/>
              </w:rPr>
              <w:t>7.3.1</w:t>
            </w:r>
          </w:p>
        </w:tc>
        <w:tc>
          <w:tcPr>
            <w:tcW w:w="2172" w:type="dxa"/>
            <w:vAlign w:val="center"/>
          </w:tcPr>
          <w:p w14:paraId="0EAB07A2">
            <w:pPr>
              <w:jc w:val="center"/>
              <w:rPr>
                <w:rFonts w:ascii="宋体" w:hAnsi="宋体" w:cs="宋体"/>
                <w:color w:val="auto"/>
                <w:sz w:val="21"/>
                <w:szCs w:val="21"/>
                <w:highlight w:val="none"/>
              </w:rPr>
            </w:pPr>
            <w:r>
              <w:rPr>
                <w:rFonts w:hint="eastAsia" w:ascii="宋体" w:hAnsi="宋体" w:cs="宋体"/>
                <w:color w:val="auto"/>
                <w:sz w:val="21"/>
                <w:szCs w:val="21"/>
                <w:highlight w:val="none"/>
              </w:rPr>
              <w:t>履约保证金</w:t>
            </w:r>
          </w:p>
        </w:tc>
        <w:tc>
          <w:tcPr>
            <w:tcW w:w="6379" w:type="dxa"/>
          </w:tcPr>
          <w:p w14:paraId="4418D8D8">
            <w:pPr>
              <w:pStyle w:val="26"/>
              <w:spacing w:before="1"/>
              <w:rPr>
                <w:rFonts w:ascii="宋体" w:hAnsi="宋体" w:cs="宋体"/>
                <w:color w:val="auto"/>
                <w:sz w:val="21"/>
                <w:szCs w:val="21"/>
                <w:highlight w:val="none"/>
                <w:u w:val="single"/>
              </w:rPr>
            </w:pPr>
            <w:r>
              <w:rPr>
                <w:rFonts w:hint="eastAsia" w:ascii="宋体" w:hAnsi="宋体" w:cs="宋体"/>
                <w:color w:val="auto"/>
                <w:sz w:val="21"/>
                <w:szCs w:val="21"/>
                <w:highlight w:val="none"/>
              </w:rPr>
              <w:t>是否要求中选人提交履约保证金：</w:t>
            </w:r>
            <w:r>
              <w:rPr>
                <w:rFonts w:hint="eastAsia" w:ascii="宋体" w:hAnsi="宋体" w:cs="宋体"/>
                <w:color w:val="auto"/>
                <w:sz w:val="21"/>
                <w:szCs w:val="21"/>
                <w:highlight w:val="none"/>
                <w:u w:val="single"/>
              </w:rPr>
              <w:t xml:space="preserve"> 否 </w:t>
            </w:r>
          </w:p>
        </w:tc>
      </w:tr>
      <w:tr w14:paraId="675A4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0" w:hRule="atLeast"/>
        </w:trPr>
        <w:tc>
          <w:tcPr>
            <w:tcW w:w="912" w:type="dxa"/>
            <w:vAlign w:val="center"/>
          </w:tcPr>
          <w:p w14:paraId="5C7783C7">
            <w:pPr>
              <w:jc w:val="center"/>
              <w:rPr>
                <w:rFonts w:ascii="宋体" w:hAnsi="宋体" w:cs="宋体"/>
                <w:color w:val="auto"/>
                <w:sz w:val="21"/>
                <w:szCs w:val="21"/>
                <w:highlight w:val="none"/>
              </w:rPr>
            </w:pPr>
            <w:r>
              <w:rPr>
                <w:rFonts w:hint="eastAsia" w:ascii="宋体" w:hAnsi="宋体" w:cs="宋体"/>
                <w:color w:val="auto"/>
                <w:sz w:val="21"/>
                <w:szCs w:val="21"/>
                <w:highlight w:val="none"/>
              </w:rPr>
              <w:t>8.1.1</w:t>
            </w:r>
          </w:p>
        </w:tc>
        <w:tc>
          <w:tcPr>
            <w:tcW w:w="2172" w:type="dxa"/>
            <w:vAlign w:val="center"/>
          </w:tcPr>
          <w:p w14:paraId="5F33727D">
            <w:pPr>
              <w:jc w:val="center"/>
              <w:rPr>
                <w:rFonts w:ascii="宋体" w:hAnsi="宋体" w:cs="宋体"/>
                <w:color w:val="auto"/>
                <w:sz w:val="21"/>
                <w:szCs w:val="21"/>
                <w:highlight w:val="none"/>
              </w:rPr>
            </w:pPr>
            <w:r>
              <w:rPr>
                <w:rFonts w:hint="eastAsia" w:ascii="宋体" w:hAnsi="宋体" w:cs="宋体"/>
                <w:color w:val="auto"/>
                <w:sz w:val="21"/>
                <w:szCs w:val="21"/>
                <w:highlight w:val="none"/>
              </w:rPr>
              <w:t>投诉</w:t>
            </w:r>
          </w:p>
        </w:tc>
        <w:tc>
          <w:tcPr>
            <w:tcW w:w="6379" w:type="dxa"/>
          </w:tcPr>
          <w:p w14:paraId="0A4B58CF">
            <w:pPr>
              <w:rPr>
                <w:rFonts w:hint="eastAsia" w:ascii="宋体" w:hAnsi="宋体" w:cs="宋体"/>
                <w:color w:val="auto"/>
                <w:sz w:val="21"/>
                <w:szCs w:val="21"/>
                <w:highlight w:val="none"/>
              </w:rPr>
            </w:pPr>
          </w:p>
          <w:p w14:paraId="7A2FC92D">
            <w:pPr>
              <w:rPr>
                <w:rFonts w:ascii="宋体" w:hAnsi="宋体" w:cs="宋体"/>
                <w:color w:val="auto"/>
                <w:sz w:val="21"/>
                <w:szCs w:val="21"/>
                <w:highlight w:val="none"/>
              </w:rPr>
            </w:pPr>
            <w:r>
              <w:rPr>
                <w:rFonts w:hint="eastAsia" w:ascii="宋体" w:hAnsi="宋体" w:cs="宋体"/>
                <w:color w:val="auto"/>
                <w:sz w:val="21"/>
                <w:szCs w:val="21"/>
                <w:highlight w:val="none"/>
              </w:rPr>
              <w:t>（1）投诉人认为比选活动不符合法律行政法规规定的，可以在知道或者应当知道之日起10日内提出书面投诉。依法应先提出异议的，异议答复期间不计算在内；异议人对答复不满意，应在异议答复之日起10日内提出书面投诉。</w:t>
            </w:r>
          </w:p>
          <w:p w14:paraId="42FEEC90">
            <w:pPr>
              <w:rPr>
                <w:rFonts w:ascii="宋体" w:hAnsi="宋体" w:cs="宋体"/>
                <w:color w:val="auto"/>
                <w:sz w:val="21"/>
                <w:szCs w:val="21"/>
                <w:highlight w:val="none"/>
              </w:rPr>
            </w:pPr>
            <w:r>
              <w:rPr>
                <w:rFonts w:hint="eastAsia" w:ascii="宋体" w:hAnsi="宋体" w:cs="宋体"/>
                <w:color w:val="auto"/>
                <w:sz w:val="21"/>
                <w:szCs w:val="21"/>
                <w:highlight w:val="none"/>
              </w:rPr>
              <w:t>（2）投诉人向监督部门提出投诉，应当实名提交投诉书。(投诉书格式详见比选人须知附件2)</w:t>
            </w:r>
          </w:p>
          <w:p w14:paraId="1D6CA0D5">
            <w:pPr>
              <w:rPr>
                <w:rFonts w:ascii="宋体" w:hAnsi="宋体" w:cs="宋体"/>
                <w:color w:val="auto"/>
                <w:sz w:val="21"/>
                <w:szCs w:val="21"/>
                <w:highlight w:val="none"/>
              </w:rPr>
            </w:pPr>
            <w:r>
              <w:rPr>
                <w:rFonts w:hint="eastAsia" w:ascii="宋体" w:hAnsi="宋体" w:cs="宋体"/>
                <w:color w:val="auto"/>
                <w:sz w:val="21"/>
                <w:szCs w:val="21"/>
                <w:highlight w:val="none"/>
              </w:rPr>
              <w:t>（3）有下列情形之一的投诉，不予受理：</w:t>
            </w:r>
          </w:p>
          <w:p w14:paraId="21280A2B">
            <w:pPr>
              <w:rPr>
                <w:rFonts w:ascii="宋体" w:hAnsi="宋体" w:cs="宋体"/>
                <w:color w:val="auto"/>
                <w:sz w:val="21"/>
                <w:szCs w:val="21"/>
                <w:highlight w:val="none"/>
              </w:rPr>
            </w:pPr>
            <w:r>
              <w:rPr>
                <w:rFonts w:hint="eastAsia" w:ascii="宋体" w:hAnsi="宋体" w:cs="宋体"/>
                <w:color w:val="auto"/>
                <w:sz w:val="21"/>
                <w:szCs w:val="21"/>
                <w:highlight w:val="none"/>
              </w:rPr>
              <w:t>①投诉人不是所投诉比选活动的参与者，或者与投诉项目无任何利害关系；</w:t>
            </w:r>
          </w:p>
          <w:p w14:paraId="14A95CD5">
            <w:pPr>
              <w:rPr>
                <w:rFonts w:ascii="宋体" w:hAnsi="宋体" w:cs="宋体"/>
                <w:color w:val="auto"/>
                <w:sz w:val="21"/>
                <w:szCs w:val="21"/>
                <w:highlight w:val="none"/>
              </w:rPr>
            </w:pPr>
            <w:r>
              <w:rPr>
                <w:rFonts w:hint="eastAsia" w:ascii="宋体" w:hAnsi="宋体" w:cs="宋体"/>
                <w:color w:val="auto"/>
                <w:sz w:val="21"/>
                <w:szCs w:val="21"/>
                <w:highlight w:val="none"/>
              </w:rPr>
              <w:t>②投诉事项不具体，且未提供有效的线索、证据，难以查证的；</w:t>
            </w:r>
          </w:p>
          <w:p w14:paraId="3D229CA5">
            <w:pPr>
              <w:rPr>
                <w:rFonts w:ascii="宋体" w:hAnsi="宋体" w:cs="宋体"/>
                <w:color w:val="auto"/>
                <w:sz w:val="21"/>
                <w:szCs w:val="21"/>
                <w:highlight w:val="none"/>
              </w:rPr>
            </w:pPr>
            <w:r>
              <w:rPr>
                <w:rFonts w:hint="eastAsia" w:ascii="宋体" w:hAnsi="宋体" w:cs="宋体"/>
                <w:color w:val="auto"/>
                <w:sz w:val="21"/>
                <w:szCs w:val="21"/>
                <w:highlight w:val="none"/>
              </w:rPr>
              <w:t>③投诉书未署有投诉人真实姓名、签字和有效联系方式的；以法人名义投诉的，投诉书未经法定代表人签字并加盖单位章的；委托代理人没有相应的授权委托书和有效身份证明复印件，或者有关委托代理权限和事项不明确的；</w:t>
            </w:r>
          </w:p>
          <w:p w14:paraId="71112204">
            <w:pPr>
              <w:rPr>
                <w:rFonts w:ascii="宋体" w:hAnsi="宋体" w:cs="宋体"/>
                <w:color w:val="auto"/>
                <w:sz w:val="21"/>
                <w:szCs w:val="21"/>
                <w:highlight w:val="none"/>
              </w:rPr>
            </w:pPr>
            <w:r>
              <w:rPr>
                <w:rFonts w:hint="eastAsia" w:ascii="宋体" w:hAnsi="宋体" w:cs="宋体"/>
                <w:color w:val="auto"/>
                <w:sz w:val="21"/>
                <w:szCs w:val="21"/>
                <w:highlight w:val="none"/>
              </w:rPr>
              <w:t>④应当在规定时间提出诉求而未提出，超出投诉时效的；</w:t>
            </w:r>
          </w:p>
          <w:p w14:paraId="465EEF43">
            <w:pPr>
              <w:rPr>
                <w:rFonts w:ascii="宋体" w:hAnsi="宋体" w:cs="宋体"/>
                <w:color w:val="auto"/>
                <w:sz w:val="21"/>
                <w:szCs w:val="21"/>
                <w:highlight w:val="none"/>
              </w:rPr>
            </w:pPr>
            <w:r>
              <w:rPr>
                <w:rFonts w:hint="eastAsia" w:ascii="宋体" w:hAnsi="宋体" w:cs="宋体"/>
                <w:color w:val="auto"/>
                <w:sz w:val="21"/>
                <w:szCs w:val="21"/>
                <w:highlight w:val="none"/>
              </w:rPr>
              <w:t>⑤已经作出处理决定，且投诉人没有提出新的证据的；</w:t>
            </w:r>
          </w:p>
          <w:p w14:paraId="37664687">
            <w:pPr>
              <w:rPr>
                <w:rFonts w:ascii="宋体" w:hAnsi="宋体" w:cs="宋体"/>
                <w:color w:val="auto"/>
                <w:sz w:val="21"/>
                <w:szCs w:val="21"/>
                <w:highlight w:val="none"/>
              </w:rPr>
            </w:pPr>
            <w:r>
              <w:rPr>
                <w:rFonts w:hint="eastAsia" w:ascii="宋体" w:hAnsi="宋体" w:cs="宋体"/>
                <w:color w:val="auto"/>
                <w:sz w:val="21"/>
                <w:szCs w:val="21"/>
                <w:highlight w:val="none"/>
              </w:rPr>
              <w:t>⑥投诉事项应先提出异议没有提出异议、已进入行政复议或者司法程序的；</w:t>
            </w:r>
          </w:p>
          <w:p w14:paraId="68BBEC25">
            <w:pPr>
              <w:rPr>
                <w:rFonts w:hint="eastAsia" w:ascii="宋体" w:hAnsi="宋体" w:cs="宋体"/>
                <w:color w:val="auto"/>
                <w:sz w:val="21"/>
                <w:szCs w:val="21"/>
                <w:highlight w:val="none"/>
              </w:rPr>
            </w:pPr>
            <w:r>
              <w:rPr>
                <w:rFonts w:hint="eastAsia" w:ascii="宋体" w:hAnsi="宋体" w:cs="宋体"/>
                <w:color w:val="auto"/>
                <w:sz w:val="21"/>
                <w:szCs w:val="21"/>
                <w:highlight w:val="none"/>
              </w:rPr>
              <w:t>⑦其他行政主管部门已经受理的</w:t>
            </w:r>
          </w:p>
        </w:tc>
      </w:tr>
      <w:tr w14:paraId="6951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12" w:type="dxa"/>
            <w:vAlign w:val="center"/>
          </w:tcPr>
          <w:p w14:paraId="170E1B96">
            <w:pPr>
              <w:jc w:val="center"/>
              <w:rPr>
                <w:rFonts w:ascii="宋体" w:hAnsi="宋体" w:cs="宋体"/>
                <w:color w:val="auto"/>
                <w:sz w:val="21"/>
                <w:szCs w:val="21"/>
                <w:highlight w:val="none"/>
              </w:rPr>
            </w:pPr>
            <w:r>
              <w:rPr>
                <w:rFonts w:hint="eastAsia" w:ascii="宋体" w:hAnsi="宋体" w:cs="宋体"/>
                <w:color w:val="auto"/>
                <w:sz w:val="21"/>
                <w:szCs w:val="21"/>
                <w:highlight w:val="none"/>
              </w:rPr>
              <w:t>8.2.1</w:t>
            </w:r>
          </w:p>
        </w:tc>
        <w:tc>
          <w:tcPr>
            <w:tcW w:w="2172" w:type="dxa"/>
            <w:vAlign w:val="center"/>
          </w:tcPr>
          <w:p w14:paraId="789A49DA">
            <w:pPr>
              <w:jc w:val="center"/>
              <w:rPr>
                <w:rFonts w:ascii="宋体" w:hAnsi="宋体" w:cs="宋体"/>
                <w:color w:val="auto"/>
                <w:sz w:val="21"/>
                <w:szCs w:val="21"/>
                <w:highlight w:val="none"/>
              </w:rPr>
            </w:pPr>
            <w:r>
              <w:rPr>
                <w:rFonts w:hint="eastAsia" w:ascii="宋体" w:hAnsi="宋体" w:cs="宋体"/>
                <w:color w:val="auto"/>
                <w:sz w:val="21"/>
                <w:szCs w:val="21"/>
                <w:highlight w:val="none"/>
              </w:rPr>
              <w:t>纪检监督部门</w:t>
            </w:r>
          </w:p>
        </w:tc>
        <w:tc>
          <w:tcPr>
            <w:tcW w:w="6379" w:type="dxa"/>
          </w:tcPr>
          <w:p w14:paraId="12DC3D80">
            <w:pPr>
              <w:rPr>
                <w:rFonts w:ascii="宋体" w:hAnsi="宋体" w:cs="宋体"/>
                <w:color w:val="auto"/>
                <w:sz w:val="21"/>
                <w:szCs w:val="21"/>
                <w:highlight w:val="none"/>
              </w:rPr>
            </w:pPr>
            <w:r>
              <w:rPr>
                <w:rFonts w:hint="eastAsia" w:ascii="宋体" w:hAnsi="宋体" w:cs="宋体"/>
                <w:color w:val="auto"/>
                <w:sz w:val="21"/>
                <w:szCs w:val="21"/>
                <w:highlight w:val="none"/>
              </w:rPr>
              <w:t>招选人：</w:t>
            </w:r>
            <w:r>
              <w:rPr>
                <w:rFonts w:hint="eastAsia" w:ascii="宋体" w:hAnsi="宋体" w:cs="宋体"/>
                <w:color w:val="auto"/>
                <w:sz w:val="21"/>
                <w:highlight w:val="none"/>
              </w:rPr>
              <w:t>四川宜叙高速公路开发有限责任公司</w:t>
            </w:r>
            <w:r>
              <w:rPr>
                <w:rFonts w:hint="eastAsia" w:ascii="宋体" w:hAnsi="宋体" w:cs="宋体"/>
                <w:color w:val="auto"/>
                <w:sz w:val="21"/>
                <w:szCs w:val="21"/>
                <w:highlight w:val="none"/>
              </w:rPr>
              <w:t>纪检办公室</w:t>
            </w:r>
          </w:p>
          <w:p w14:paraId="79CD4F84">
            <w:pPr>
              <w:rPr>
                <w:rFonts w:ascii="宋体" w:hAnsi="宋体" w:cs="宋体"/>
                <w:color w:val="auto"/>
                <w:sz w:val="21"/>
                <w:szCs w:val="21"/>
                <w:highlight w:val="none"/>
              </w:rPr>
            </w:pPr>
            <w:r>
              <w:rPr>
                <w:rFonts w:hint="eastAsia" w:ascii="宋体" w:hAnsi="宋体" w:cs="宋体"/>
                <w:color w:val="auto"/>
                <w:sz w:val="21"/>
                <w:szCs w:val="21"/>
                <w:highlight w:val="none"/>
              </w:rPr>
              <w:t>电话：0831-5562663</w:t>
            </w:r>
          </w:p>
        </w:tc>
      </w:tr>
      <w:tr w14:paraId="2D50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8" w:hRule="atLeast"/>
        </w:trPr>
        <w:tc>
          <w:tcPr>
            <w:tcW w:w="912" w:type="dxa"/>
            <w:vAlign w:val="center"/>
          </w:tcPr>
          <w:p w14:paraId="5A3FE8B4">
            <w:pPr>
              <w:jc w:val="center"/>
              <w:rPr>
                <w:rFonts w:ascii="宋体" w:hAnsi="宋体" w:cs="宋体"/>
                <w:color w:val="auto"/>
                <w:sz w:val="21"/>
                <w:szCs w:val="21"/>
                <w:highlight w:val="none"/>
              </w:rPr>
            </w:pPr>
            <w:r>
              <w:rPr>
                <w:rFonts w:hint="eastAsia" w:ascii="宋体" w:hAnsi="宋体" w:cs="宋体"/>
                <w:color w:val="auto"/>
                <w:sz w:val="21"/>
                <w:szCs w:val="21"/>
                <w:highlight w:val="none"/>
              </w:rPr>
              <w:t>8.2.2</w:t>
            </w:r>
          </w:p>
        </w:tc>
        <w:tc>
          <w:tcPr>
            <w:tcW w:w="2172" w:type="dxa"/>
            <w:vAlign w:val="center"/>
          </w:tcPr>
          <w:p w14:paraId="12A3E4D2">
            <w:pPr>
              <w:jc w:val="center"/>
              <w:rPr>
                <w:rFonts w:ascii="宋体" w:hAnsi="宋体" w:cs="宋体"/>
                <w:color w:val="auto"/>
                <w:sz w:val="21"/>
                <w:szCs w:val="21"/>
                <w:highlight w:val="none"/>
              </w:rPr>
            </w:pPr>
            <w:r>
              <w:rPr>
                <w:rFonts w:hint="eastAsia" w:ascii="宋体" w:hAnsi="宋体" w:cs="宋体"/>
                <w:color w:val="auto"/>
                <w:sz w:val="21"/>
                <w:szCs w:val="21"/>
                <w:highlight w:val="none"/>
              </w:rPr>
              <w:t>异议</w:t>
            </w:r>
          </w:p>
        </w:tc>
        <w:tc>
          <w:tcPr>
            <w:tcW w:w="6379" w:type="dxa"/>
          </w:tcPr>
          <w:p w14:paraId="3BBEA914">
            <w:pPr>
              <w:rPr>
                <w:rFonts w:ascii="宋体" w:hAnsi="宋体" w:cs="宋体"/>
                <w:color w:val="auto"/>
                <w:sz w:val="21"/>
                <w:szCs w:val="21"/>
                <w:highlight w:val="none"/>
              </w:rPr>
            </w:pPr>
            <w:r>
              <w:rPr>
                <w:rFonts w:hint="eastAsia" w:ascii="宋体" w:hAnsi="宋体" w:cs="宋体"/>
                <w:color w:val="auto"/>
                <w:sz w:val="21"/>
                <w:szCs w:val="21"/>
                <w:highlight w:val="none"/>
              </w:rPr>
              <w:t>本项补充:比选人或利害关系人认为比选活动存在不符合法律、法规和规章规定的，可以依法向比选人提出异议，或者依法向有关监督部门投诉。比选人或利害关系人对招选文件、开标、招选结果事项进行投诉的，应当依法先向招选人提出异议。</w:t>
            </w:r>
          </w:p>
          <w:p w14:paraId="6022AE35">
            <w:pPr>
              <w:rPr>
                <w:rFonts w:ascii="宋体" w:hAnsi="宋体" w:cs="宋体"/>
                <w:color w:val="auto"/>
                <w:sz w:val="21"/>
                <w:szCs w:val="21"/>
                <w:highlight w:val="none"/>
              </w:rPr>
            </w:pPr>
            <w:r>
              <w:rPr>
                <w:rFonts w:hint="eastAsia" w:ascii="宋体" w:hAnsi="宋体" w:cs="宋体"/>
                <w:color w:val="auto"/>
                <w:sz w:val="21"/>
                <w:szCs w:val="21"/>
                <w:highlight w:val="none"/>
              </w:rPr>
              <w:t>（1）异议提出的期限规定如下：</w:t>
            </w:r>
          </w:p>
          <w:p w14:paraId="18322E0E">
            <w:pPr>
              <w:rPr>
                <w:rFonts w:ascii="宋体" w:hAnsi="宋体" w:cs="宋体"/>
                <w:color w:val="auto"/>
                <w:sz w:val="21"/>
                <w:szCs w:val="21"/>
                <w:highlight w:val="none"/>
              </w:rPr>
            </w:pPr>
            <w:r>
              <w:rPr>
                <w:rFonts w:hint="eastAsia" w:ascii="宋体" w:hAnsi="宋体" w:cs="宋体"/>
                <w:color w:val="auto"/>
                <w:sz w:val="21"/>
                <w:szCs w:val="21"/>
                <w:highlight w:val="none"/>
              </w:rPr>
              <w:t>①对招选文件有异议的，潜在比选人或者其他利害关系人应当在提交招选文件截止时间10日前提出。</w:t>
            </w:r>
          </w:p>
          <w:p w14:paraId="556E78C6">
            <w:pPr>
              <w:rPr>
                <w:rFonts w:ascii="宋体" w:hAnsi="宋体" w:cs="宋体"/>
                <w:color w:val="auto"/>
                <w:sz w:val="21"/>
                <w:szCs w:val="21"/>
                <w:highlight w:val="none"/>
              </w:rPr>
            </w:pPr>
            <w:r>
              <w:rPr>
                <w:rFonts w:hint="eastAsia" w:ascii="宋体" w:hAnsi="宋体" w:cs="宋体"/>
                <w:color w:val="auto"/>
                <w:sz w:val="21"/>
                <w:szCs w:val="21"/>
                <w:highlight w:val="none"/>
              </w:rPr>
              <w:t>②对提交招选文件的截标时间、开标程序、比选文件密封检查和开封、唱标内容、开标记录、唱标次序等开标有异议的，比选人应当在开标期间当场提出。</w:t>
            </w:r>
          </w:p>
          <w:p w14:paraId="389D55E7">
            <w:pPr>
              <w:rPr>
                <w:rFonts w:ascii="宋体" w:hAnsi="宋体" w:cs="宋体"/>
                <w:color w:val="auto"/>
                <w:sz w:val="21"/>
                <w:szCs w:val="21"/>
                <w:highlight w:val="none"/>
              </w:rPr>
            </w:pPr>
            <w:r>
              <w:rPr>
                <w:rFonts w:hint="eastAsia" w:ascii="宋体" w:hAnsi="宋体" w:cs="宋体"/>
                <w:color w:val="auto"/>
                <w:sz w:val="21"/>
                <w:szCs w:val="21"/>
                <w:highlight w:val="none"/>
              </w:rPr>
              <w:t>③对招选有异议的，比选人或其它利害关系人应当在中选候选人的公示期间提出。</w:t>
            </w:r>
          </w:p>
          <w:p w14:paraId="7F5E2A1A">
            <w:pPr>
              <w:rPr>
                <w:rFonts w:ascii="宋体" w:hAnsi="宋体" w:cs="宋体"/>
                <w:color w:val="auto"/>
                <w:sz w:val="21"/>
                <w:szCs w:val="21"/>
                <w:highlight w:val="none"/>
              </w:rPr>
            </w:pPr>
            <w:r>
              <w:rPr>
                <w:rFonts w:hint="eastAsia" w:ascii="宋体" w:hAnsi="宋体" w:cs="宋体"/>
                <w:color w:val="auto"/>
                <w:sz w:val="21"/>
                <w:szCs w:val="21"/>
                <w:highlight w:val="none"/>
              </w:rPr>
              <w:t>（2）异议人提出异议应当提交异议书，但异议仅涉及开标的除外。(异议书格式详见比选人须知附件1)</w:t>
            </w:r>
          </w:p>
          <w:p w14:paraId="7890C828">
            <w:pPr>
              <w:rPr>
                <w:rFonts w:ascii="宋体" w:hAnsi="宋体" w:cs="宋体"/>
                <w:color w:val="auto"/>
                <w:sz w:val="21"/>
                <w:szCs w:val="21"/>
                <w:highlight w:val="none"/>
              </w:rPr>
            </w:pPr>
            <w:r>
              <w:rPr>
                <w:rFonts w:hint="eastAsia" w:ascii="宋体" w:hAnsi="宋体" w:cs="宋体"/>
                <w:color w:val="auto"/>
                <w:sz w:val="21"/>
                <w:szCs w:val="21"/>
                <w:highlight w:val="none"/>
              </w:rPr>
              <w:t>（3）异议人是法人的，异议书必须由其法定代表人或者授权代表（如果有）签字并加盖公章；其他组织或者个人提出异议的，异议书必须由其主要负责人或者提出异议的本人签字，并附真实有效身份证明复印件。</w:t>
            </w:r>
          </w:p>
          <w:p w14:paraId="237A801A">
            <w:pPr>
              <w:rPr>
                <w:rFonts w:ascii="宋体" w:hAnsi="宋体" w:cs="宋体"/>
                <w:color w:val="auto"/>
                <w:sz w:val="21"/>
                <w:szCs w:val="21"/>
                <w:highlight w:val="none"/>
              </w:rPr>
            </w:pPr>
            <w:r>
              <w:rPr>
                <w:rFonts w:hint="eastAsia" w:ascii="宋体" w:hAnsi="宋体" w:cs="宋体"/>
                <w:color w:val="auto"/>
                <w:sz w:val="21"/>
                <w:szCs w:val="21"/>
                <w:highlight w:val="none"/>
              </w:rPr>
              <w:t>（4）有下列情形之一的，招选人可以不予受理异议，并向异议人发出异议不予受理通知书：</w:t>
            </w:r>
          </w:p>
          <w:p w14:paraId="3CF3F68D">
            <w:pPr>
              <w:rPr>
                <w:rFonts w:ascii="宋体" w:hAnsi="宋体" w:cs="宋体"/>
                <w:color w:val="auto"/>
                <w:sz w:val="21"/>
                <w:szCs w:val="21"/>
                <w:highlight w:val="none"/>
              </w:rPr>
            </w:pPr>
            <w:r>
              <w:rPr>
                <w:rFonts w:hint="eastAsia" w:ascii="宋体" w:hAnsi="宋体" w:cs="宋体"/>
                <w:color w:val="auto"/>
                <w:sz w:val="21"/>
                <w:szCs w:val="21"/>
                <w:highlight w:val="none"/>
              </w:rPr>
              <w:t>①异议人不是比选人、潜在比选人或者其他利害关系人；</w:t>
            </w:r>
          </w:p>
          <w:p w14:paraId="00120D70">
            <w:pPr>
              <w:rPr>
                <w:rFonts w:ascii="宋体" w:hAnsi="宋体" w:cs="宋体"/>
                <w:color w:val="auto"/>
                <w:sz w:val="21"/>
                <w:szCs w:val="21"/>
                <w:highlight w:val="none"/>
              </w:rPr>
            </w:pPr>
            <w:r>
              <w:rPr>
                <w:rFonts w:hint="eastAsia" w:ascii="宋体" w:hAnsi="宋体" w:cs="宋体"/>
                <w:color w:val="auto"/>
                <w:sz w:val="21"/>
                <w:szCs w:val="21"/>
                <w:highlight w:val="none"/>
              </w:rPr>
              <w:t>②未在法定的异议期限内提出的；</w:t>
            </w:r>
          </w:p>
          <w:p w14:paraId="30EAFBE2">
            <w:pPr>
              <w:rPr>
                <w:rFonts w:ascii="宋体" w:hAnsi="宋体" w:cs="宋体"/>
                <w:color w:val="auto"/>
                <w:sz w:val="21"/>
                <w:szCs w:val="21"/>
                <w:highlight w:val="none"/>
              </w:rPr>
            </w:pPr>
            <w:r>
              <w:rPr>
                <w:rFonts w:hint="eastAsia" w:ascii="宋体" w:hAnsi="宋体" w:cs="宋体"/>
                <w:color w:val="auto"/>
                <w:sz w:val="21"/>
                <w:szCs w:val="21"/>
                <w:highlight w:val="none"/>
              </w:rPr>
              <w:t>③规定应当以书面形式提出但未以书面形式提出的；</w:t>
            </w:r>
          </w:p>
          <w:p w14:paraId="2B3634E2">
            <w:pPr>
              <w:rPr>
                <w:rFonts w:ascii="宋体" w:hAnsi="宋体" w:cs="宋体"/>
                <w:color w:val="auto"/>
                <w:sz w:val="21"/>
                <w:szCs w:val="21"/>
                <w:highlight w:val="none"/>
              </w:rPr>
            </w:pPr>
            <w:r>
              <w:rPr>
                <w:rFonts w:hint="eastAsia" w:ascii="宋体" w:hAnsi="宋体" w:cs="宋体"/>
                <w:color w:val="auto"/>
                <w:sz w:val="21"/>
                <w:szCs w:val="21"/>
                <w:highlight w:val="none"/>
              </w:rPr>
              <w:t>④异议书未按照要求签字盖章的；</w:t>
            </w:r>
          </w:p>
          <w:p w14:paraId="3F407299">
            <w:pPr>
              <w:rPr>
                <w:rFonts w:ascii="宋体" w:hAnsi="宋体" w:cs="宋体"/>
                <w:color w:val="auto"/>
                <w:sz w:val="21"/>
                <w:szCs w:val="21"/>
                <w:highlight w:val="none"/>
              </w:rPr>
            </w:pPr>
            <w:r>
              <w:rPr>
                <w:rFonts w:hint="eastAsia" w:ascii="宋体" w:hAnsi="宋体" w:cs="宋体"/>
                <w:color w:val="auto"/>
                <w:sz w:val="21"/>
                <w:szCs w:val="21"/>
                <w:highlight w:val="none"/>
              </w:rPr>
              <w:t>⑤异议书未提供有效联系人和联系方式的；</w:t>
            </w:r>
          </w:p>
          <w:p w14:paraId="4D2221EE">
            <w:pPr>
              <w:rPr>
                <w:rFonts w:ascii="宋体" w:hAnsi="宋体" w:cs="宋体"/>
                <w:color w:val="auto"/>
                <w:sz w:val="21"/>
                <w:szCs w:val="21"/>
                <w:highlight w:val="none"/>
              </w:rPr>
            </w:pPr>
            <w:r>
              <w:rPr>
                <w:rFonts w:hint="eastAsia" w:ascii="宋体" w:hAnsi="宋体" w:cs="宋体"/>
                <w:color w:val="auto"/>
                <w:sz w:val="21"/>
                <w:szCs w:val="21"/>
                <w:highlight w:val="none"/>
              </w:rPr>
              <w:t>⑥针对依法应当保密的信息和资料提出异议的；</w:t>
            </w:r>
          </w:p>
          <w:p w14:paraId="6A771383">
            <w:pPr>
              <w:rPr>
                <w:rFonts w:ascii="宋体" w:hAnsi="宋体" w:cs="宋体"/>
                <w:color w:val="auto"/>
                <w:sz w:val="21"/>
                <w:szCs w:val="21"/>
                <w:highlight w:val="none"/>
              </w:rPr>
            </w:pPr>
            <w:r>
              <w:rPr>
                <w:rFonts w:hint="eastAsia" w:ascii="宋体" w:hAnsi="宋体" w:cs="宋体"/>
                <w:color w:val="auto"/>
                <w:sz w:val="21"/>
                <w:szCs w:val="21"/>
                <w:highlight w:val="none"/>
              </w:rPr>
              <w:t>⑦开标现场已经比选人确认的事项，开标后比选人又就该事项提出异议的；</w:t>
            </w:r>
          </w:p>
          <w:p w14:paraId="04E3A6CE">
            <w:pPr>
              <w:rPr>
                <w:rFonts w:ascii="宋体" w:hAnsi="宋体" w:cs="宋体"/>
                <w:color w:val="auto"/>
                <w:sz w:val="21"/>
                <w:szCs w:val="21"/>
                <w:highlight w:val="none"/>
              </w:rPr>
            </w:pPr>
            <w:r>
              <w:rPr>
                <w:rFonts w:hint="eastAsia" w:ascii="宋体" w:hAnsi="宋体" w:cs="宋体"/>
                <w:color w:val="auto"/>
                <w:sz w:val="21"/>
                <w:szCs w:val="21"/>
                <w:highlight w:val="none"/>
              </w:rPr>
              <w:t>⑧比选人已经做出明确答复，无新的事实证据，又就同一问题提出异议的；</w:t>
            </w:r>
          </w:p>
          <w:p w14:paraId="74D0F708">
            <w:pPr>
              <w:rPr>
                <w:rFonts w:ascii="宋体" w:hAnsi="宋体" w:cs="宋体"/>
                <w:color w:val="auto"/>
                <w:sz w:val="21"/>
                <w:szCs w:val="21"/>
                <w:highlight w:val="none"/>
              </w:rPr>
            </w:pPr>
            <w:r>
              <w:rPr>
                <w:rFonts w:hint="eastAsia" w:ascii="宋体" w:hAnsi="宋体" w:cs="宋体"/>
                <w:color w:val="auto"/>
                <w:sz w:val="21"/>
                <w:szCs w:val="21"/>
                <w:highlight w:val="none"/>
              </w:rPr>
              <w:t>⑨异议人违反《中华人民共和国招标投标法》等法律规定，捏造事实、伪造材料或者以非法手段取得证明材料提出异议的。比选人对异议未在规定时限内做出答复的，异议人可以向交通运输行政主管部门申诉，交通运输行政主管部门应当责令比选人依法做出答复。异议人对答复不满意的，可以提起投诉。</w:t>
            </w:r>
          </w:p>
        </w:tc>
      </w:tr>
      <w:tr w14:paraId="1B49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vAlign w:val="center"/>
          </w:tcPr>
          <w:p w14:paraId="5906AF4D">
            <w:pPr>
              <w:jc w:val="center"/>
              <w:rPr>
                <w:rFonts w:ascii="宋体" w:hAnsi="宋体" w:cs="宋体"/>
                <w:color w:val="auto"/>
                <w:sz w:val="21"/>
                <w:szCs w:val="21"/>
                <w:highlight w:val="none"/>
              </w:rPr>
            </w:pPr>
            <w:r>
              <w:rPr>
                <w:rFonts w:hint="eastAsia" w:ascii="宋体" w:hAnsi="宋体" w:cs="宋体"/>
                <w:color w:val="auto"/>
                <w:sz w:val="21"/>
                <w:szCs w:val="21"/>
                <w:highlight w:val="none"/>
              </w:rPr>
              <w:t>9.1.1</w:t>
            </w:r>
          </w:p>
        </w:tc>
        <w:tc>
          <w:tcPr>
            <w:tcW w:w="2172" w:type="dxa"/>
            <w:vAlign w:val="center"/>
          </w:tcPr>
          <w:p w14:paraId="5CD0C243">
            <w:pPr>
              <w:jc w:val="center"/>
              <w:rPr>
                <w:rFonts w:ascii="宋体" w:hAnsi="宋体" w:cs="宋体"/>
                <w:color w:val="auto"/>
                <w:sz w:val="21"/>
                <w:szCs w:val="21"/>
                <w:highlight w:val="none"/>
              </w:rPr>
            </w:pPr>
            <w:r>
              <w:rPr>
                <w:rFonts w:hint="eastAsia" w:ascii="宋体" w:hAnsi="宋体" w:cs="宋体"/>
                <w:color w:val="auto"/>
                <w:sz w:val="21"/>
                <w:szCs w:val="21"/>
                <w:highlight w:val="none"/>
              </w:rPr>
              <w:t>是否采用电子比选</w:t>
            </w:r>
          </w:p>
        </w:tc>
        <w:tc>
          <w:tcPr>
            <w:tcW w:w="6379" w:type="dxa"/>
            <w:vAlign w:val="center"/>
          </w:tcPr>
          <w:p w14:paraId="7D3D5C57">
            <w:pPr>
              <w:jc w:val="center"/>
              <w:rPr>
                <w:rFonts w:ascii="宋体" w:hAnsi="宋体" w:cs="宋体"/>
                <w:color w:val="auto"/>
                <w:sz w:val="21"/>
                <w:szCs w:val="21"/>
                <w:highlight w:val="none"/>
              </w:rPr>
            </w:pPr>
            <w:r>
              <w:rPr>
                <w:rFonts w:hint="eastAsia" w:ascii="宋体" w:hAnsi="宋体" w:cs="宋体"/>
                <w:color w:val="auto"/>
                <w:sz w:val="21"/>
                <w:szCs w:val="21"/>
                <w:highlight w:val="none"/>
              </w:rPr>
              <w:t>否</w:t>
            </w:r>
          </w:p>
        </w:tc>
      </w:tr>
      <w:tr w14:paraId="77E6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63" w:type="dxa"/>
            <w:gridSpan w:val="3"/>
            <w:vAlign w:val="center"/>
          </w:tcPr>
          <w:p w14:paraId="7A505054">
            <w:pPr>
              <w:jc w:val="center"/>
              <w:rPr>
                <w:rFonts w:ascii="宋体" w:hAnsi="宋体" w:cs="宋体"/>
                <w:color w:val="auto"/>
                <w:sz w:val="21"/>
                <w:szCs w:val="21"/>
                <w:highlight w:val="none"/>
              </w:rPr>
            </w:pPr>
            <w:r>
              <w:rPr>
                <w:rFonts w:hint="eastAsia" w:ascii="宋体" w:hAnsi="宋体" w:cs="宋体"/>
                <w:color w:val="auto"/>
                <w:sz w:val="21"/>
                <w:szCs w:val="21"/>
                <w:highlight w:val="none"/>
              </w:rPr>
              <w:t>需要补充的其他内容</w:t>
            </w:r>
          </w:p>
        </w:tc>
      </w:tr>
      <w:tr w14:paraId="36F7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vAlign w:val="center"/>
          </w:tcPr>
          <w:p w14:paraId="449204CB">
            <w:pPr>
              <w:jc w:val="center"/>
              <w:rPr>
                <w:rFonts w:ascii="宋体" w:hAnsi="宋体" w:cs="宋体"/>
                <w:color w:val="auto"/>
                <w:sz w:val="21"/>
                <w:szCs w:val="21"/>
                <w:highlight w:val="none"/>
              </w:rPr>
            </w:pPr>
            <w:r>
              <w:rPr>
                <w:rFonts w:hint="eastAsia" w:ascii="宋体" w:hAnsi="宋体" w:cs="宋体"/>
                <w:color w:val="auto"/>
                <w:sz w:val="21"/>
                <w:szCs w:val="21"/>
                <w:highlight w:val="none"/>
              </w:rPr>
              <w:t>10.1</w:t>
            </w:r>
          </w:p>
          <w:p w14:paraId="76ACCFF1">
            <w:pPr>
              <w:jc w:val="center"/>
              <w:rPr>
                <w:rFonts w:ascii="宋体" w:hAnsi="宋体" w:cs="宋体"/>
                <w:color w:val="auto"/>
                <w:sz w:val="21"/>
                <w:szCs w:val="21"/>
                <w:highlight w:val="none"/>
              </w:rPr>
            </w:pPr>
            <w:r>
              <w:rPr>
                <w:rFonts w:hint="eastAsia" w:ascii="宋体" w:hAnsi="宋体" w:cs="宋体"/>
                <w:color w:val="auto"/>
                <w:sz w:val="21"/>
                <w:szCs w:val="21"/>
                <w:highlight w:val="none"/>
              </w:rPr>
              <w:t>比选的通讯 要求</w:t>
            </w:r>
          </w:p>
        </w:tc>
        <w:tc>
          <w:tcPr>
            <w:tcW w:w="8551" w:type="dxa"/>
            <w:gridSpan w:val="2"/>
            <w:vAlign w:val="center"/>
          </w:tcPr>
          <w:p w14:paraId="61B0FFF1">
            <w:pPr>
              <w:tabs>
                <w:tab w:val="left" w:pos="8400"/>
              </w:tabs>
              <w:rPr>
                <w:rFonts w:ascii="宋体" w:hAnsi="宋体" w:cs="宋体"/>
                <w:color w:val="auto"/>
                <w:sz w:val="21"/>
                <w:szCs w:val="21"/>
                <w:highlight w:val="none"/>
              </w:rPr>
            </w:pPr>
            <w:r>
              <w:rPr>
                <w:rFonts w:hint="eastAsia" w:ascii="宋体" w:hAnsi="宋体" w:cs="宋体"/>
                <w:color w:val="auto"/>
                <w:sz w:val="21"/>
                <w:szCs w:val="21"/>
                <w:highlight w:val="none"/>
              </w:rPr>
              <w:t>（1）比选人应按招选文件要求自行参加开标会，自行从招选人指定网站查阅和下载通知、补遗书（若有），不能下载的应及时与招选人联系，否则后果自行承担。比选人下载通知、补遗书后，不再向招选人发出确认函。本项目不组织现场踏勘及招选预备会，需踏勘现场的比选人可自行组织前往，相关费用自理，安全责任自行承担；</w:t>
            </w:r>
          </w:p>
          <w:p w14:paraId="77C4BD49">
            <w:pPr>
              <w:rPr>
                <w:rFonts w:ascii="宋体" w:hAnsi="宋体" w:cs="宋体"/>
                <w:color w:val="auto"/>
                <w:sz w:val="21"/>
                <w:szCs w:val="21"/>
                <w:highlight w:val="none"/>
              </w:rPr>
            </w:pPr>
            <w:r>
              <w:rPr>
                <w:rFonts w:hint="eastAsia" w:ascii="宋体" w:hAnsi="宋体" w:cs="宋体"/>
                <w:color w:val="auto"/>
                <w:sz w:val="21"/>
                <w:szCs w:val="21"/>
                <w:highlight w:val="none"/>
              </w:rPr>
              <w:t>（2）比选人在送交比选文件时登记比选人信息及有效的联系方式，至招选结果公示前，必须保证其提供的联系方式处于有效工作状态，招选人不承担由于与比选人联系中断给比选人带来的任何损失责任。</w:t>
            </w:r>
          </w:p>
        </w:tc>
      </w:tr>
      <w:tr w14:paraId="3FA2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vAlign w:val="center"/>
          </w:tcPr>
          <w:p w14:paraId="59CB34B4">
            <w:pPr>
              <w:jc w:val="center"/>
              <w:rPr>
                <w:rFonts w:ascii="宋体" w:hAnsi="宋体" w:cs="宋体"/>
                <w:color w:val="auto"/>
                <w:sz w:val="21"/>
                <w:szCs w:val="21"/>
                <w:highlight w:val="none"/>
              </w:rPr>
            </w:pPr>
            <w:r>
              <w:rPr>
                <w:rFonts w:hint="eastAsia" w:ascii="宋体" w:hAnsi="宋体" w:cs="宋体"/>
                <w:color w:val="auto"/>
                <w:sz w:val="21"/>
                <w:szCs w:val="21"/>
                <w:highlight w:val="none"/>
              </w:rPr>
              <w:t>10.2</w:t>
            </w:r>
          </w:p>
          <w:p w14:paraId="7B66F2C0">
            <w:pPr>
              <w:jc w:val="center"/>
              <w:rPr>
                <w:rFonts w:ascii="宋体" w:hAnsi="宋体" w:cs="宋体"/>
                <w:color w:val="auto"/>
                <w:sz w:val="21"/>
                <w:szCs w:val="21"/>
                <w:highlight w:val="none"/>
              </w:rPr>
            </w:pPr>
            <w:r>
              <w:rPr>
                <w:rFonts w:hint="eastAsia" w:ascii="宋体" w:hAnsi="宋体" w:cs="宋体"/>
                <w:color w:val="auto"/>
                <w:sz w:val="21"/>
                <w:szCs w:val="21"/>
                <w:highlight w:val="none"/>
              </w:rPr>
              <w:t>签订合同其他事项</w:t>
            </w:r>
          </w:p>
        </w:tc>
        <w:tc>
          <w:tcPr>
            <w:tcW w:w="8551" w:type="dxa"/>
            <w:gridSpan w:val="2"/>
            <w:vAlign w:val="center"/>
          </w:tcPr>
          <w:p w14:paraId="0252C95E">
            <w:pPr>
              <w:rPr>
                <w:rFonts w:ascii="宋体" w:hAnsi="宋体" w:cs="宋体"/>
                <w:color w:val="auto"/>
                <w:sz w:val="21"/>
                <w:szCs w:val="21"/>
                <w:highlight w:val="none"/>
              </w:rPr>
            </w:pPr>
            <w:r>
              <w:rPr>
                <w:rFonts w:hint="eastAsia" w:ascii="宋体" w:hAnsi="宋体" w:cs="宋体"/>
                <w:color w:val="auto"/>
                <w:sz w:val="21"/>
                <w:szCs w:val="21"/>
                <w:highlight w:val="none"/>
              </w:rPr>
              <w:t>（1）招选人和中选人应当自中选通知书发出之日起</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日内，按照招选文件和中选人的比选文件订立书面合同；</w:t>
            </w:r>
          </w:p>
          <w:p w14:paraId="747262AD">
            <w:pPr>
              <w:rPr>
                <w:rFonts w:ascii="宋体" w:hAnsi="宋体" w:cs="宋体"/>
                <w:color w:val="auto"/>
                <w:sz w:val="21"/>
                <w:szCs w:val="21"/>
                <w:highlight w:val="none"/>
              </w:rPr>
            </w:pPr>
            <w:r>
              <w:rPr>
                <w:rFonts w:hint="eastAsia" w:ascii="宋体" w:hAnsi="宋体" w:cs="宋体"/>
                <w:color w:val="auto"/>
                <w:sz w:val="21"/>
                <w:szCs w:val="21"/>
                <w:highlight w:val="none"/>
              </w:rPr>
              <w:t>（2）招选人和中选人在签订合同协议书的同时需按照本招选文件规定的格式（必要时可做修改）和要求签订招选文件第四章第三节合同附件格式所列相关合同，明确双方的权利和义务以及应承担的违约责任；</w:t>
            </w:r>
          </w:p>
          <w:p w14:paraId="3C034E89">
            <w:pPr>
              <w:rPr>
                <w:rFonts w:ascii="宋体" w:hAnsi="宋体" w:cs="宋体"/>
                <w:color w:val="auto"/>
                <w:sz w:val="21"/>
                <w:szCs w:val="21"/>
                <w:highlight w:val="none"/>
              </w:rPr>
            </w:pPr>
            <w:r>
              <w:rPr>
                <w:rFonts w:hint="eastAsia" w:ascii="宋体" w:hAnsi="宋体" w:cs="宋体"/>
                <w:color w:val="auto"/>
                <w:sz w:val="21"/>
                <w:szCs w:val="21"/>
                <w:highlight w:val="none"/>
              </w:rPr>
              <w:t>（3）合同文件的制作及费用由中选人负责。合同文件的份数根据需要由招选人与中选人协商确定。在合同协议书签订之前，招选文件和中选通知书将约束双方。</w:t>
            </w:r>
          </w:p>
        </w:tc>
      </w:tr>
      <w:tr w14:paraId="6897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912" w:type="dxa"/>
            <w:vAlign w:val="center"/>
          </w:tcPr>
          <w:p w14:paraId="344BB06B">
            <w:pPr>
              <w:jc w:val="center"/>
              <w:rPr>
                <w:rFonts w:ascii="宋体" w:hAnsi="宋体" w:cs="宋体"/>
                <w:color w:val="auto"/>
                <w:sz w:val="21"/>
                <w:szCs w:val="21"/>
                <w:highlight w:val="none"/>
              </w:rPr>
            </w:pPr>
            <w:r>
              <w:rPr>
                <w:rFonts w:hint="eastAsia" w:ascii="宋体" w:hAnsi="宋体" w:cs="宋体"/>
                <w:color w:val="auto"/>
                <w:sz w:val="21"/>
                <w:szCs w:val="21"/>
                <w:highlight w:val="none"/>
              </w:rPr>
              <w:t>10.3</w:t>
            </w:r>
          </w:p>
          <w:p w14:paraId="2BAA0E3E">
            <w:pPr>
              <w:jc w:val="center"/>
              <w:rPr>
                <w:rFonts w:ascii="宋体" w:hAnsi="宋体" w:cs="宋体"/>
                <w:color w:val="auto"/>
                <w:sz w:val="21"/>
                <w:szCs w:val="21"/>
                <w:highlight w:val="none"/>
              </w:rPr>
            </w:pPr>
            <w:r>
              <w:rPr>
                <w:rFonts w:hint="eastAsia" w:ascii="宋体" w:hAnsi="宋体" w:cs="宋体"/>
                <w:color w:val="auto"/>
                <w:sz w:val="21"/>
                <w:szCs w:val="21"/>
                <w:highlight w:val="none"/>
              </w:rPr>
              <w:t>放弃中选的处理</w:t>
            </w:r>
          </w:p>
        </w:tc>
        <w:tc>
          <w:tcPr>
            <w:tcW w:w="8551" w:type="dxa"/>
            <w:gridSpan w:val="2"/>
            <w:vAlign w:val="center"/>
          </w:tcPr>
          <w:p w14:paraId="7138094A">
            <w:pPr>
              <w:rPr>
                <w:rFonts w:ascii="宋体" w:hAnsi="宋体" w:cs="宋体"/>
                <w:color w:val="auto"/>
                <w:sz w:val="21"/>
                <w:szCs w:val="21"/>
                <w:highlight w:val="none"/>
              </w:rPr>
            </w:pPr>
            <w:r>
              <w:rPr>
                <w:rFonts w:hint="eastAsia" w:ascii="宋体" w:hAnsi="宋体" w:cs="宋体"/>
                <w:color w:val="auto"/>
                <w:sz w:val="21"/>
                <w:szCs w:val="21"/>
                <w:highlight w:val="none"/>
              </w:rPr>
              <w:t>（1）比选有效期内比选人不得撤销比选文件。</w:t>
            </w:r>
          </w:p>
          <w:p w14:paraId="6B96B592">
            <w:pPr>
              <w:rPr>
                <w:rFonts w:ascii="宋体" w:hAnsi="宋体" w:cs="宋体"/>
                <w:color w:val="auto"/>
                <w:sz w:val="21"/>
                <w:szCs w:val="21"/>
                <w:highlight w:val="none"/>
              </w:rPr>
            </w:pPr>
            <w:r>
              <w:rPr>
                <w:rFonts w:hint="eastAsia" w:ascii="宋体" w:hAnsi="宋体" w:cs="宋体"/>
                <w:color w:val="auto"/>
                <w:sz w:val="21"/>
                <w:szCs w:val="21"/>
                <w:highlight w:val="none"/>
              </w:rPr>
              <w:t>（2）中选人在收到中标通知书后，拒签合同协议书，招选人将取消其中选资格。</w:t>
            </w:r>
          </w:p>
        </w:tc>
      </w:tr>
      <w:tr w14:paraId="24B2C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vAlign w:val="center"/>
          </w:tcPr>
          <w:p w14:paraId="70E3C76D">
            <w:pPr>
              <w:jc w:val="center"/>
              <w:rPr>
                <w:rFonts w:ascii="宋体" w:hAnsi="宋体" w:cs="宋体"/>
                <w:color w:val="auto"/>
                <w:sz w:val="21"/>
                <w:szCs w:val="21"/>
                <w:highlight w:val="none"/>
              </w:rPr>
            </w:pPr>
            <w:r>
              <w:rPr>
                <w:rFonts w:hint="eastAsia" w:ascii="宋体" w:hAnsi="宋体" w:cs="宋体"/>
                <w:color w:val="auto"/>
                <w:sz w:val="21"/>
                <w:szCs w:val="21"/>
                <w:highlight w:val="none"/>
              </w:rPr>
              <w:t>10.4</w:t>
            </w:r>
          </w:p>
          <w:p w14:paraId="46C69E56">
            <w:pPr>
              <w:jc w:val="center"/>
              <w:rPr>
                <w:rFonts w:ascii="宋体" w:hAnsi="宋体" w:cs="宋体"/>
                <w:color w:val="auto"/>
                <w:sz w:val="21"/>
                <w:szCs w:val="21"/>
                <w:highlight w:val="none"/>
              </w:rPr>
            </w:pPr>
            <w:r>
              <w:rPr>
                <w:rFonts w:hint="eastAsia" w:ascii="宋体" w:hAnsi="宋体" w:cs="宋体"/>
                <w:color w:val="auto"/>
                <w:sz w:val="21"/>
                <w:szCs w:val="21"/>
                <w:highlight w:val="none"/>
              </w:rPr>
              <w:t>开展扫黑除恶斗争的要求</w:t>
            </w:r>
          </w:p>
        </w:tc>
        <w:tc>
          <w:tcPr>
            <w:tcW w:w="8551" w:type="dxa"/>
            <w:gridSpan w:val="2"/>
            <w:vAlign w:val="center"/>
          </w:tcPr>
          <w:p w14:paraId="4D61C4B5">
            <w:pPr>
              <w:rPr>
                <w:rFonts w:ascii="宋体" w:hAnsi="宋体" w:cs="宋体"/>
                <w:color w:val="auto"/>
                <w:sz w:val="21"/>
                <w:szCs w:val="21"/>
                <w:highlight w:val="none"/>
              </w:rPr>
            </w:pPr>
            <w:r>
              <w:rPr>
                <w:rFonts w:hint="eastAsia" w:ascii="宋体" w:hAnsi="宋体" w:cs="宋体"/>
                <w:color w:val="auto"/>
                <w:sz w:val="21"/>
                <w:szCs w:val="21"/>
                <w:highlight w:val="none"/>
              </w:rPr>
              <w:t>为进一步加强在全省公路水运建设领域内开展扫黑除恶专项斗争，依法严厉打击各类黑恶势力违法犯罪活动，有效净化建设市场和环境，维护招选单位和比选单位的合法权益，确保全省重点公路水运项目比选活动有序进行。按照有黑扫黑、无黑除恶、无恶治乱的工作要求，各比选单位及从业人员应按照《四川省交通运输厅关于开展公路水运建设领域建设环境专项整治工作的通知》（川交函〔2018〕657号）、《四川省交通运输厅关于开展公路水运建设领域恶意竞标专项整治工作的通知》（川交函〔2018〕656 号）文件要求做好相关工作。</w:t>
            </w:r>
          </w:p>
        </w:tc>
      </w:tr>
      <w:tr w14:paraId="2009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12" w:type="dxa"/>
            <w:vAlign w:val="center"/>
          </w:tcPr>
          <w:p w14:paraId="1C93C952">
            <w:pPr>
              <w:jc w:val="center"/>
              <w:rPr>
                <w:rFonts w:ascii="宋体" w:hAnsi="宋体" w:cs="宋体"/>
                <w:color w:val="auto"/>
                <w:sz w:val="21"/>
                <w:szCs w:val="21"/>
                <w:highlight w:val="none"/>
              </w:rPr>
            </w:pPr>
            <w:r>
              <w:rPr>
                <w:rFonts w:hint="eastAsia" w:ascii="宋体" w:hAnsi="宋体" w:cs="宋体"/>
                <w:color w:val="auto"/>
                <w:sz w:val="21"/>
                <w:szCs w:val="21"/>
                <w:highlight w:val="none"/>
              </w:rPr>
              <w:t>10.5</w:t>
            </w:r>
          </w:p>
          <w:p w14:paraId="301D4CF9">
            <w:pPr>
              <w:jc w:val="center"/>
              <w:rPr>
                <w:rFonts w:ascii="宋体" w:hAnsi="宋体" w:cs="宋体"/>
                <w:color w:val="auto"/>
                <w:sz w:val="21"/>
                <w:szCs w:val="21"/>
                <w:highlight w:val="none"/>
              </w:rPr>
            </w:pPr>
            <w:r>
              <w:rPr>
                <w:rFonts w:hint="eastAsia" w:ascii="宋体" w:hAnsi="宋体" w:cs="宋体"/>
                <w:color w:val="auto"/>
                <w:sz w:val="21"/>
                <w:szCs w:val="21"/>
                <w:highlight w:val="none"/>
              </w:rPr>
              <w:t>扫黑除恶举报电话</w:t>
            </w:r>
          </w:p>
        </w:tc>
        <w:tc>
          <w:tcPr>
            <w:tcW w:w="8551" w:type="dxa"/>
            <w:gridSpan w:val="2"/>
            <w:vAlign w:val="center"/>
          </w:tcPr>
          <w:p w14:paraId="163D67AA">
            <w:pPr>
              <w:rPr>
                <w:rFonts w:ascii="宋体" w:hAnsi="宋体" w:cs="宋体"/>
                <w:color w:val="auto"/>
                <w:sz w:val="21"/>
                <w:szCs w:val="21"/>
                <w:highlight w:val="none"/>
              </w:rPr>
            </w:pPr>
            <w:r>
              <w:rPr>
                <w:rFonts w:hint="eastAsia" w:ascii="宋体" w:hAnsi="宋体" w:cs="宋体"/>
                <w:color w:val="auto"/>
                <w:sz w:val="21"/>
                <w:szCs w:val="21"/>
                <w:highlight w:val="none"/>
              </w:rPr>
              <w:t>省交通运输厅：</w:t>
            </w:r>
          </w:p>
          <w:p w14:paraId="49EA514D">
            <w:pPr>
              <w:rPr>
                <w:rFonts w:ascii="宋体" w:hAnsi="宋体" w:cs="宋体"/>
                <w:color w:val="auto"/>
                <w:sz w:val="21"/>
                <w:szCs w:val="21"/>
                <w:highlight w:val="none"/>
              </w:rPr>
            </w:pPr>
            <w:r>
              <w:rPr>
                <w:rFonts w:hint="eastAsia" w:ascii="宋体" w:hAnsi="宋体" w:cs="宋体"/>
                <w:color w:val="auto"/>
                <w:sz w:val="21"/>
                <w:szCs w:val="21"/>
                <w:highlight w:val="none"/>
              </w:rPr>
              <w:t>厅扫黑除恶办公室举报电话：028-85553206</w:t>
            </w:r>
          </w:p>
          <w:p w14:paraId="0579EF69">
            <w:pPr>
              <w:rPr>
                <w:rFonts w:ascii="宋体" w:hAnsi="宋体" w:cs="宋体"/>
                <w:color w:val="auto"/>
                <w:sz w:val="21"/>
                <w:szCs w:val="21"/>
                <w:highlight w:val="none"/>
              </w:rPr>
            </w:pPr>
            <w:r>
              <w:rPr>
                <w:rFonts w:hint="eastAsia" w:ascii="宋体" w:hAnsi="宋体" w:cs="宋体"/>
                <w:color w:val="auto"/>
                <w:sz w:val="21"/>
                <w:szCs w:val="21"/>
                <w:highlight w:val="none"/>
              </w:rPr>
              <w:t>驻厅纪检组举报电话：028-85525235</w:t>
            </w:r>
          </w:p>
          <w:p w14:paraId="432BC8FA">
            <w:pPr>
              <w:rPr>
                <w:rFonts w:ascii="宋体" w:hAnsi="宋体" w:cs="宋体"/>
                <w:color w:val="auto"/>
                <w:sz w:val="21"/>
                <w:szCs w:val="21"/>
                <w:highlight w:val="none"/>
              </w:rPr>
            </w:pPr>
            <w:r>
              <w:rPr>
                <w:rFonts w:hint="eastAsia" w:ascii="宋体" w:hAnsi="宋体" w:cs="宋体"/>
                <w:color w:val="auto"/>
                <w:sz w:val="21"/>
                <w:szCs w:val="21"/>
                <w:highlight w:val="none"/>
              </w:rPr>
              <w:t>厅建设管理处举报电话：028-85525314</w:t>
            </w:r>
          </w:p>
          <w:p w14:paraId="43C72A09">
            <w:pPr>
              <w:rPr>
                <w:rFonts w:ascii="宋体" w:hAnsi="宋体" w:cs="宋体"/>
                <w:color w:val="auto"/>
                <w:sz w:val="21"/>
                <w:szCs w:val="21"/>
                <w:highlight w:val="none"/>
              </w:rPr>
            </w:pPr>
            <w:r>
              <w:rPr>
                <w:rFonts w:hint="eastAsia" w:ascii="宋体" w:hAnsi="宋体" w:cs="宋体"/>
                <w:color w:val="auto"/>
                <w:sz w:val="21"/>
                <w:szCs w:val="21"/>
                <w:highlight w:val="none"/>
              </w:rPr>
              <w:t>厅公路局举报电话：028-85550281</w:t>
            </w:r>
          </w:p>
          <w:p w14:paraId="68FA8A18">
            <w:pPr>
              <w:rPr>
                <w:rFonts w:ascii="宋体" w:hAnsi="宋体" w:cs="宋体"/>
                <w:color w:val="auto"/>
                <w:sz w:val="21"/>
                <w:szCs w:val="21"/>
                <w:highlight w:val="none"/>
              </w:rPr>
            </w:pPr>
            <w:r>
              <w:rPr>
                <w:rFonts w:hint="eastAsia" w:ascii="宋体" w:hAnsi="宋体" w:cs="宋体"/>
                <w:color w:val="auto"/>
                <w:sz w:val="21"/>
                <w:szCs w:val="21"/>
                <w:highlight w:val="none"/>
              </w:rPr>
              <w:t>厅航务管理局举报电话：028-85525767</w:t>
            </w:r>
          </w:p>
          <w:p w14:paraId="2E85E49A">
            <w:pPr>
              <w:rPr>
                <w:rFonts w:ascii="宋体" w:hAnsi="宋体" w:cs="宋体"/>
                <w:color w:val="auto"/>
                <w:sz w:val="21"/>
                <w:szCs w:val="21"/>
                <w:highlight w:val="none"/>
              </w:rPr>
            </w:pPr>
            <w:r>
              <w:rPr>
                <w:rFonts w:hint="eastAsia" w:ascii="宋体" w:hAnsi="宋体" w:cs="宋体"/>
                <w:color w:val="auto"/>
                <w:sz w:val="21"/>
                <w:szCs w:val="21"/>
                <w:highlight w:val="none"/>
              </w:rPr>
              <w:t>举报传真：028-85525338</w:t>
            </w:r>
          </w:p>
          <w:p w14:paraId="672E874E">
            <w:pPr>
              <w:rPr>
                <w:rFonts w:ascii="宋体" w:hAnsi="宋体" w:cs="宋体"/>
                <w:color w:val="auto"/>
                <w:sz w:val="21"/>
                <w:szCs w:val="21"/>
                <w:highlight w:val="none"/>
              </w:rPr>
            </w:pPr>
            <w:r>
              <w:rPr>
                <w:rFonts w:hint="eastAsia" w:ascii="宋体" w:hAnsi="宋体" w:cs="宋体"/>
                <w:color w:val="auto"/>
                <w:sz w:val="21"/>
                <w:szCs w:val="21"/>
                <w:highlight w:val="none"/>
              </w:rPr>
              <w:t>举报邮箱：</w:t>
            </w:r>
            <w:r>
              <w:rPr>
                <w:color w:val="auto"/>
                <w:highlight w:val="none"/>
              </w:rPr>
              <w:fldChar w:fldCharType="begin"/>
            </w:r>
            <w:r>
              <w:rPr>
                <w:color w:val="auto"/>
                <w:highlight w:val="none"/>
              </w:rPr>
              <w:instrText xml:space="preserve"> HYPERLINK "mailto:scjtshce@scjt.gov.cn" </w:instrText>
            </w:r>
            <w:r>
              <w:rPr>
                <w:color w:val="auto"/>
                <w:highlight w:val="none"/>
              </w:rPr>
              <w:fldChar w:fldCharType="separate"/>
            </w:r>
            <w:r>
              <w:rPr>
                <w:rFonts w:hint="eastAsia" w:ascii="宋体" w:hAnsi="宋体" w:cs="宋体"/>
                <w:color w:val="auto"/>
                <w:sz w:val="21"/>
                <w:szCs w:val="21"/>
                <w:highlight w:val="none"/>
              </w:rPr>
              <w:t>scjtshce@scjt.gov.cn</w:t>
            </w:r>
            <w:r>
              <w:rPr>
                <w:rFonts w:hint="eastAsia" w:ascii="宋体" w:hAnsi="宋体" w:cs="宋体"/>
                <w:color w:val="auto"/>
                <w:sz w:val="21"/>
                <w:szCs w:val="21"/>
                <w:highlight w:val="none"/>
              </w:rPr>
              <w:fldChar w:fldCharType="end"/>
            </w:r>
          </w:p>
          <w:p w14:paraId="1E940BE6">
            <w:pPr>
              <w:rPr>
                <w:rFonts w:ascii="宋体" w:hAnsi="宋体" w:cs="宋体"/>
                <w:color w:val="auto"/>
                <w:sz w:val="21"/>
                <w:szCs w:val="21"/>
                <w:highlight w:val="none"/>
              </w:rPr>
            </w:pPr>
            <w:r>
              <w:rPr>
                <w:rFonts w:hint="eastAsia" w:ascii="宋体" w:hAnsi="宋体" w:cs="宋体"/>
                <w:color w:val="auto"/>
                <w:sz w:val="21"/>
                <w:szCs w:val="21"/>
                <w:highlight w:val="none"/>
              </w:rPr>
              <w:t>举报地址：四川省成都市武侯祠大街 180 号四川省交通运输厅二楼扫黑除恶办公室</w:t>
            </w:r>
          </w:p>
          <w:p w14:paraId="4B1C7D3E">
            <w:pPr>
              <w:rPr>
                <w:rFonts w:ascii="宋体" w:hAnsi="宋体" w:cs="宋体"/>
                <w:color w:val="auto"/>
                <w:sz w:val="21"/>
                <w:szCs w:val="21"/>
                <w:highlight w:val="none"/>
              </w:rPr>
            </w:pPr>
            <w:r>
              <w:rPr>
                <w:rFonts w:hint="eastAsia" w:ascii="宋体" w:hAnsi="宋体" w:cs="宋体"/>
                <w:color w:val="auto"/>
                <w:sz w:val="21"/>
                <w:szCs w:val="21"/>
                <w:highlight w:val="none"/>
              </w:rPr>
              <w:t>邮政编码：610041</w:t>
            </w:r>
          </w:p>
        </w:tc>
      </w:tr>
    </w:tbl>
    <w:p w14:paraId="7AEC5444">
      <w:pPr>
        <w:spacing w:line="360" w:lineRule="auto"/>
        <w:rPr>
          <w:rFonts w:ascii="宋体" w:hAnsi="宋体" w:cs="宋体"/>
          <w:color w:val="auto"/>
          <w:highlight w:val="none"/>
        </w:rPr>
        <w:sectPr>
          <w:footerReference r:id="rId10" w:type="default"/>
          <w:pgSz w:w="11900" w:h="16840"/>
          <w:pgMar w:top="1440" w:right="1080" w:bottom="1440" w:left="1080" w:header="881" w:footer="894" w:gutter="0"/>
          <w:cols w:space="720" w:num="1"/>
        </w:sectPr>
      </w:pPr>
    </w:p>
    <w:p w14:paraId="2631F0F0">
      <w:pPr>
        <w:widowControl/>
        <w:snapToGrid w:val="0"/>
        <w:jc w:val="center"/>
        <w:textAlignment w:val="baseline"/>
        <w:outlineLvl w:val="0"/>
        <w:rPr>
          <w:rFonts w:ascii="宋体" w:hAnsi="宋体" w:cs="宋体"/>
          <w:snapToGrid w:val="0"/>
          <w:color w:val="auto"/>
          <w:spacing w:val="-3"/>
          <w:szCs w:val="24"/>
          <w:highlight w:val="none"/>
        </w:rPr>
      </w:pPr>
      <w:bookmarkStart w:id="21" w:name="_Toc4184"/>
      <w:r>
        <w:rPr>
          <w:rFonts w:hint="eastAsia" w:ascii="宋体" w:hAnsi="宋体" w:cs="宋体"/>
          <w:snapToGrid w:val="0"/>
          <w:color w:val="auto"/>
          <w:spacing w:val="-3"/>
          <w:szCs w:val="24"/>
          <w:highlight w:val="none"/>
        </w:rPr>
        <w:t>附录 1 资格审查条件（资质最低要求）</w:t>
      </w:r>
      <w:bookmarkEnd w:id="21"/>
    </w:p>
    <w:p w14:paraId="3947A753">
      <w:pPr>
        <w:pStyle w:val="12"/>
        <w:kinsoku w:val="0"/>
        <w:overflowPunct w:val="0"/>
        <w:spacing w:before="4" w:line="360" w:lineRule="auto"/>
        <w:ind w:left="0"/>
        <w:rPr>
          <w:rFonts w:hint="default" w:cs="宋体"/>
          <w:color w:val="auto"/>
          <w:sz w:val="2"/>
          <w:highlight w:val="none"/>
        </w:rPr>
      </w:pPr>
    </w:p>
    <w:tbl>
      <w:tblPr>
        <w:tblStyle w:val="21"/>
        <w:tblW w:w="0" w:type="auto"/>
        <w:tblInd w:w="494" w:type="dxa"/>
        <w:tblLayout w:type="fixed"/>
        <w:tblCellMar>
          <w:top w:w="0" w:type="dxa"/>
          <w:left w:w="108" w:type="dxa"/>
          <w:bottom w:w="0" w:type="dxa"/>
          <w:right w:w="108" w:type="dxa"/>
        </w:tblCellMar>
      </w:tblPr>
      <w:tblGrid>
        <w:gridCol w:w="1186"/>
        <w:gridCol w:w="7637"/>
      </w:tblGrid>
      <w:tr w14:paraId="02DCA809">
        <w:tblPrEx>
          <w:tblCellMar>
            <w:top w:w="0" w:type="dxa"/>
            <w:left w:w="108" w:type="dxa"/>
            <w:bottom w:w="0" w:type="dxa"/>
            <w:right w:w="108" w:type="dxa"/>
          </w:tblCellMar>
        </w:tblPrEx>
        <w:trPr>
          <w:trHeight w:val="23" w:hRule="atLeast"/>
        </w:trPr>
        <w:tc>
          <w:tcPr>
            <w:tcW w:w="1186" w:type="dxa"/>
            <w:tcBorders>
              <w:top w:val="single" w:color="000000" w:sz="4" w:space="0"/>
              <w:left w:val="single" w:color="000000" w:sz="4" w:space="0"/>
              <w:bottom w:val="single" w:color="000000" w:sz="4" w:space="0"/>
              <w:right w:val="single" w:color="000000" w:sz="4" w:space="0"/>
              <w:tl2br w:val="nil"/>
              <w:tr2bl w:val="nil"/>
            </w:tcBorders>
            <w:vAlign w:val="center"/>
          </w:tcPr>
          <w:p w14:paraId="0FB0F249">
            <w:pPr>
              <w:pStyle w:val="26"/>
              <w:kinsoku w:val="0"/>
              <w:overflowPunct w:val="0"/>
              <w:spacing w:before="138"/>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标段</w:t>
            </w:r>
          </w:p>
        </w:tc>
        <w:tc>
          <w:tcPr>
            <w:tcW w:w="7637" w:type="dxa"/>
            <w:tcBorders>
              <w:top w:val="single" w:color="000000" w:sz="4" w:space="0"/>
              <w:left w:val="single" w:color="000000" w:sz="4" w:space="0"/>
              <w:bottom w:val="single" w:color="000000" w:sz="4" w:space="0"/>
              <w:right w:val="single" w:color="000000" w:sz="4" w:space="0"/>
              <w:tl2br w:val="nil"/>
              <w:tr2bl w:val="nil"/>
            </w:tcBorders>
            <w:vAlign w:val="center"/>
          </w:tcPr>
          <w:p w14:paraId="51E20FAF">
            <w:pPr>
              <w:pStyle w:val="26"/>
              <w:kinsoku w:val="0"/>
              <w:overflowPunct w:val="0"/>
              <w:spacing w:before="138"/>
              <w:ind w:left="103"/>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资质最低要求</w:t>
            </w:r>
          </w:p>
        </w:tc>
      </w:tr>
      <w:tr w14:paraId="39669434">
        <w:tblPrEx>
          <w:tblCellMar>
            <w:top w:w="0" w:type="dxa"/>
            <w:left w:w="108" w:type="dxa"/>
            <w:bottom w:w="0" w:type="dxa"/>
            <w:right w:w="108" w:type="dxa"/>
          </w:tblCellMar>
        </w:tblPrEx>
        <w:trPr>
          <w:trHeight w:val="1408" w:hRule="atLeast"/>
        </w:trPr>
        <w:tc>
          <w:tcPr>
            <w:tcW w:w="1186" w:type="dxa"/>
            <w:tcBorders>
              <w:top w:val="single" w:color="000000" w:sz="4" w:space="0"/>
              <w:left w:val="single" w:color="000000" w:sz="4" w:space="0"/>
              <w:bottom w:val="single" w:color="000000" w:sz="4" w:space="0"/>
              <w:right w:val="single" w:color="000000" w:sz="4" w:space="0"/>
              <w:tl2br w:val="nil"/>
              <w:tr2bl w:val="nil"/>
            </w:tcBorders>
            <w:vAlign w:val="center"/>
          </w:tcPr>
          <w:p w14:paraId="3C962409">
            <w:pPr>
              <w:pStyle w:val="26"/>
              <w:kinsoku w:val="0"/>
              <w:overflowPunct w:val="0"/>
              <w:jc w:val="center"/>
              <w:rPr>
                <w:rFonts w:ascii="宋体" w:hAnsi="宋体" w:cs="宋体"/>
                <w:color w:val="auto"/>
                <w:sz w:val="21"/>
                <w:szCs w:val="21"/>
                <w:highlight w:val="none"/>
              </w:rPr>
            </w:pPr>
            <w:r>
              <w:rPr>
                <w:rFonts w:hint="eastAsia" w:ascii="宋体" w:hAnsi="宋体" w:cs="宋体"/>
                <w:color w:val="auto"/>
                <w:sz w:val="21"/>
                <w:szCs w:val="21"/>
                <w:highlight w:val="none"/>
              </w:rPr>
              <w:t>WZCG</w:t>
            </w:r>
          </w:p>
        </w:tc>
        <w:tc>
          <w:tcPr>
            <w:tcW w:w="7637" w:type="dxa"/>
            <w:tcBorders>
              <w:top w:val="single" w:color="000000" w:sz="4" w:space="0"/>
              <w:left w:val="single" w:color="000000" w:sz="4" w:space="0"/>
              <w:bottom w:val="single" w:color="000000" w:sz="4" w:space="0"/>
              <w:right w:val="single" w:color="000000" w:sz="4" w:space="0"/>
              <w:tl2br w:val="nil"/>
              <w:tr2bl w:val="nil"/>
            </w:tcBorders>
            <w:vAlign w:val="center"/>
          </w:tcPr>
          <w:p w14:paraId="1A1D49D1">
            <w:pPr>
              <w:pStyle w:val="43"/>
              <w:kinsoku/>
              <w:spacing w:line="360" w:lineRule="exact"/>
              <w:jc w:val="both"/>
              <w:rPr>
                <w:rFonts w:ascii="Arial"/>
                <w:color w:val="auto"/>
                <w:sz w:val="21"/>
                <w:highlight w:val="none"/>
                <w:lang w:eastAsia="zh-CN"/>
              </w:rPr>
            </w:pPr>
            <w:r>
              <w:rPr>
                <w:color w:val="auto"/>
                <w:spacing w:val="11"/>
                <w:highlight w:val="none"/>
                <w:lang w:eastAsia="zh-CN"/>
              </w:rPr>
              <w:t>（1）投标人应具有独立法人资格，持有有效的营业执照、基本账户开户许可证或</w:t>
            </w:r>
            <w:r>
              <w:rPr>
                <w:color w:val="auto"/>
                <w:spacing w:val="8"/>
                <w:highlight w:val="none"/>
                <w:lang w:eastAsia="zh-CN"/>
              </w:rPr>
              <w:t>基本存款账户信息表。</w:t>
            </w:r>
          </w:p>
          <w:p w14:paraId="30967653">
            <w:pPr>
              <w:pStyle w:val="12"/>
              <w:kinsoku w:val="0"/>
              <w:overflowPunct w:val="0"/>
              <w:spacing w:before="119" w:line="380" w:lineRule="exact"/>
              <w:ind w:left="0" w:right="84"/>
              <w:rPr>
                <w:rFonts w:hint="default" w:cs="宋体"/>
                <w:bCs/>
                <w:color w:val="auto"/>
                <w:szCs w:val="22"/>
                <w:highlight w:val="none"/>
              </w:rPr>
            </w:pPr>
            <w:r>
              <w:rPr>
                <w:color w:val="auto"/>
                <w:spacing w:val="7"/>
                <w:highlight w:val="none"/>
              </w:rPr>
              <w:t>（2）同时具备以下资质：相关测绘资质证书</w:t>
            </w:r>
            <w:r>
              <w:rPr>
                <w:rFonts w:cs="宋体"/>
                <w:bCs/>
                <w:color w:val="auto"/>
                <w:szCs w:val="22"/>
                <w:highlight w:val="none"/>
              </w:rPr>
              <w:t>；</w:t>
            </w:r>
          </w:p>
          <w:p w14:paraId="45774023">
            <w:pPr>
              <w:pStyle w:val="26"/>
              <w:kinsoku w:val="0"/>
              <w:overflowPunct w:val="0"/>
              <w:spacing w:before="2"/>
              <w:ind w:right="95" w:firstLine="420" w:firstLineChars="200"/>
              <w:rPr>
                <w:rFonts w:ascii="宋体" w:hAnsi="宋体" w:cs="宋体"/>
                <w:color w:val="auto"/>
                <w:sz w:val="21"/>
                <w:szCs w:val="21"/>
                <w:highlight w:val="none"/>
              </w:rPr>
            </w:pPr>
          </w:p>
        </w:tc>
      </w:tr>
    </w:tbl>
    <w:p w14:paraId="12E0855C">
      <w:pPr>
        <w:pStyle w:val="12"/>
        <w:kinsoku w:val="0"/>
        <w:overflowPunct w:val="0"/>
        <w:spacing w:before="0" w:line="360" w:lineRule="auto"/>
        <w:ind w:left="94"/>
        <w:jc w:val="center"/>
        <w:rPr>
          <w:rFonts w:hint="default" w:cs="宋体"/>
          <w:color w:val="auto"/>
          <w:sz w:val="18"/>
          <w:highlight w:val="none"/>
        </w:rPr>
      </w:pPr>
    </w:p>
    <w:p w14:paraId="12D88C33">
      <w:pPr>
        <w:widowControl/>
        <w:snapToGrid w:val="0"/>
        <w:jc w:val="center"/>
        <w:textAlignment w:val="baseline"/>
        <w:outlineLvl w:val="0"/>
        <w:rPr>
          <w:rFonts w:ascii="宋体" w:hAnsi="宋体" w:cs="宋体"/>
          <w:snapToGrid w:val="0"/>
          <w:color w:val="auto"/>
          <w:spacing w:val="-3"/>
          <w:szCs w:val="24"/>
          <w:highlight w:val="none"/>
        </w:rPr>
      </w:pPr>
      <w:bookmarkStart w:id="22" w:name="_Toc14656"/>
      <w:r>
        <w:rPr>
          <w:rFonts w:hint="eastAsia" w:ascii="宋体" w:hAnsi="宋体" w:cs="宋体"/>
          <w:snapToGrid w:val="0"/>
          <w:color w:val="auto"/>
          <w:spacing w:val="-3"/>
          <w:szCs w:val="24"/>
          <w:highlight w:val="none"/>
        </w:rPr>
        <w:t>附录 2 资格审查条件（业绩最低要求）</w:t>
      </w:r>
      <w:bookmarkEnd w:id="22"/>
    </w:p>
    <w:p w14:paraId="4305C8D0">
      <w:pPr>
        <w:pStyle w:val="12"/>
        <w:kinsoku w:val="0"/>
        <w:overflowPunct w:val="0"/>
        <w:spacing w:before="4" w:line="360" w:lineRule="auto"/>
        <w:ind w:left="0"/>
        <w:rPr>
          <w:rFonts w:hint="default" w:cs="宋体"/>
          <w:color w:val="auto"/>
          <w:sz w:val="2"/>
          <w:highlight w:val="none"/>
        </w:rPr>
      </w:pPr>
    </w:p>
    <w:tbl>
      <w:tblPr>
        <w:tblStyle w:val="21"/>
        <w:tblW w:w="0" w:type="auto"/>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742"/>
      </w:tblGrid>
      <w:tr w14:paraId="6FE39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9" w:type="dxa"/>
            <w:tcBorders>
              <w:tl2br w:val="nil"/>
              <w:tr2bl w:val="nil"/>
            </w:tcBorders>
            <w:vAlign w:val="center"/>
          </w:tcPr>
          <w:p w14:paraId="47F88903">
            <w:pPr>
              <w:pStyle w:val="26"/>
              <w:kinsoku w:val="0"/>
              <w:overflowPunct w:val="0"/>
              <w:spacing w:before="138"/>
              <w:jc w:val="center"/>
              <w:rPr>
                <w:rFonts w:ascii="宋体" w:hAnsi="宋体" w:cs="宋体"/>
                <w:color w:val="auto"/>
                <w:sz w:val="21"/>
                <w:szCs w:val="21"/>
                <w:highlight w:val="none"/>
              </w:rPr>
            </w:pPr>
            <w:r>
              <w:rPr>
                <w:rFonts w:hint="eastAsia" w:ascii="宋体" w:hAnsi="宋体" w:cs="宋体"/>
                <w:b/>
                <w:color w:val="auto"/>
                <w:sz w:val="21"/>
                <w:szCs w:val="21"/>
                <w:highlight w:val="none"/>
              </w:rPr>
              <w:t>标段</w:t>
            </w:r>
          </w:p>
        </w:tc>
        <w:tc>
          <w:tcPr>
            <w:tcW w:w="7742" w:type="dxa"/>
            <w:tcBorders>
              <w:tl2br w:val="nil"/>
              <w:tr2bl w:val="nil"/>
            </w:tcBorders>
          </w:tcPr>
          <w:p w14:paraId="27564ED9">
            <w:pPr>
              <w:pStyle w:val="26"/>
              <w:kinsoku w:val="0"/>
              <w:overflowPunct w:val="0"/>
              <w:spacing w:before="138"/>
              <w:ind w:left="103"/>
              <w:jc w:val="center"/>
              <w:rPr>
                <w:rFonts w:ascii="宋体" w:hAnsi="宋体" w:cs="宋体"/>
                <w:color w:val="auto"/>
                <w:sz w:val="21"/>
                <w:szCs w:val="21"/>
                <w:highlight w:val="none"/>
              </w:rPr>
            </w:pPr>
            <w:r>
              <w:rPr>
                <w:rFonts w:hint="eastAsia" w:ascii="宋体" w:hAnsi="宋体" w:cs="宋体"/>
                <w:b/>
                <w:color w:val="auto"/>
                <w:sz w:val="21"/>
                <w:szCs w:val="21"/>
                <w:highlight w:val="none"/>
              </w:rPr>
              <w:t>业绩最低要求</w:t>
            </w:r>
            <w:r>
              <w:rPr>
                <w:rFonts w:hint="eastAsia" w:ascii="宋体" w:hAnsi="宋体" w:cs="宋体"/>
                <w:color w:val="auto"/>
                <w:sz w:val="21"/>
                <w:szCs w:val="21"/>
                <w:highlight w:val="none"/>
              </w:rPr>
              <w:t xml:space="preserve"> </w:t>
            </w:r>
          </w:p>
        </w:tc>
      </w:tr>
      <w:tr w14:paraId="1680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219" w:type="dxa"/>
            <w:tcBorders>
              <w:tl2br w:val="nil"/>
              <w:tr2bl w:val="nil"/>
            </w:tcBorders>
            <w:vAlign w:val="center"/>
          </w:tcPr>
          <w:p w14:paraId="57E2062B">
            <w:pPr>
              <w:pStyle w:val="26"/>
              <w:kinsoku w:val="0"/>
              <w:overflowPunct w:val="0"/>
              <w:spacing w:before="146"/>
              <w:jc w:val="center"/>
              <w:rPr>
                <w:rFonts w:ascii="宋体" w:hAnsi="宋体" w:cs="宋体"/>
                <w:color w:val="auto"/>
                <w:sz w:val="21"/>
                <w:szCs w:val="21"/>
                <w:highlight w:val="none"/>
              </w:rPr>
            </w:pPr>
            <w:r>
              <w:rPr>
                <w:rFonts w:hint="eastAsia" w:ascii="宋体" w:hAnsi="宋体" w:cs="宋体"/>
                <w:color w:val="auto"/>
                <w:sz w:val="21"/>
                <w:szCs w:val="21"/>
                <w:highlight w:val="none"/>
              </w:rPr>
              <w:t>WZCG</w:t>
            </w:r>
          </w:p>
        </w:tc>
        <w:tc>
          <w:tcPr>
            <w:tcW w:w="7742" w:type="dxa"/>
            <w:tcBorders>
              <w:tl2br w:val="nil"/>
              <w:tr2bl w:val="nil"/>
            </w:tcBorders>
          </w:tcPr>
          <w:p w14:paraId="3656913B">
            <w:pPr>
              <w:autoSpaceDE/>
              <w:autoSpaceDN/>
              <w:adjustRightInd/>
              <w:spacing w:line="360" w:lineRule="exact"/>
              <w:ind w:firstLine="432" w:firstLineChars="200"/>
              <w:jc w:val="both"/>
              <w:rPr>
                <w:rFonts w:ascii="宋体" w:hAnsi="宋体" w:cs="宋体"/>
                <w:color w:val="auto"/>
                <w:spacing w:val="8"/>
                <w:sz w:val="20"/>
                <w:highlight w:val="none"/>
              </w:rPr>
            </w:pPr>
            <w:r>
              <w:rPr>
                <w:rFonts w:hint="eastAsia" w:ascii="宋体" w:hAnsi="宋体" w:cs="宋体"/>
                <w:color w:val="auto"/>
                <w:spacing w:val="8"/>
                <w:sz w:val="20"/>
                <w:highlight w:val="none"/>
              </w:rPr>
              <w:t>近</w:t>
            </w:r>
            <w:r>
              <w:rPr>
                <w:rFonts w:hint="eastAsia" w:ascii="宋体" w:hAnsi="宋体" w:cs="宋体"/>
                <w:color w:val="auto"/>
                <w:spacing w:val="8"/>
                <w:sz w:val="20"/>
                <w:highlight w:val="none"/>
                <w:lang w:val="en-US" w:eastAsia="zh-CN"/>
              </w:rPr>
              <w:t>三</w:t>
            </w:r>
            <w:r>
              <w:rPr>
                <w:rFonts w:hint="eastAsia" w:ascii="宋体" w:hAnsi="宋体" w:cs="宋体"/>
                <w:color w:val="auto"/>
                <w:spacing w:val="8"/>
                <w:sz w:val="20"/>
                <w:highlight w:val="none"/>
              </w:rPr>
              <w:t>年（20</w:t>
            </w:r>
            <w:r>
              <w:rPr>
                <w:rFonts w:hint="eastAsia" w:ascii="宋体" w:hAnsi="宋体" w:cs="宋体"/>
                <w:color w:val="auto"/>
                <w:spacing w:val="8"/>
                <w:sz w:val="20"/>
                <w:highlight w:val="none"/>
                <w:lang w:val="en-US" w:eastAsia="zh-CN"/>
              </w:rPr>
              <w:t>21</w:t>
            </w:r>
            <w:r>
              <w:rPr>
                <w:rFonts w:hint="eastAsia" w:ascii="宋体" w:hAnsi="宋体" w:cs="宋体"/>
                <w:color w:val="auto"/>
                <w:spacing w:val="8"/>
                <w:sz w:val="20"/>
                <w:highlight w:val="none"/>
              </w:rPr>
              <w:t>年1月1日起至投标截止日，以合同签订时间为准）至少承担过1个土地测绘或地籍调查项目（工作内容至少包含本次招标的内容），且至少一个合同金额不低于20万元。</w:t>
            </w:r>
          </w:p>
          <w:p w14:paraId="4B725BB3">
            <w:pPr>
              <w:pStyle w:val="12"/>
              <w:kinsoku w:val="0"/>
              <w:overflowPunct w:val="0"/>
              <w:spacing w:line="380" w:lineRule="exact"/>
              <w:ind w:left="0" w:right="223" w:firstLine="432" w:firstLineChars="200"/>
              <w:jc w:val="both"/>
              <w:rPr>
                <w:rFonts w:hint="default" w:cs="宋体"/>
                <w:color w:val="auto"/>
                <w:szCs w:val="21"/>
                <w:highlight w:val="none"/>
              </w:rPr>
            </w:pPr>
            <w:r>
              <w:rPr>
                <w:rFonts w:cs="宋体"/>
                <w:color w:val="auto"/>
                <w:spacing w:val="8"/>
                <w:sz w:val="20"/>
                <w:highlight w:val="none"/>
              </w:rPr>
              <w:t>注：同一项目多年度合同只计算一个业绩。</w:t>
            </w:r>
          </w:p>
        </w:tc>
      </w:tr>
    </w:tbl>
    <w:p w14:paraId="4C10FB3A">
      <w:pPr>
        <w:pStyle w:val="12"/>
        <w:kinsoku w:val="0"/>
        <w:overflowPunct w:val="0"/>
        <w:spacing w:before="0" w:line="360" w:lineRule="auto"/>
        <w:ind w:left="142"/>
        <w:jc w:val="center"/>
        <w:rPr>
          <w:rFonts w:hint="default" w:cs="宋体"/>
          <w:b/>
          <w:color w:val="auto"/>
          <w:highlight w:val="none"/>
        </w:rPr>
      </w:pPr>
    </w:p>
    <w:p w14:paraId="0B226189">
      <w:pPr>
        <w:widowControl/>
        <w:snapToGrid w:val="0"/>
        <w:jc w:val="center"/>
        <w:textAlignment w:val="baseline"/>
        <w:outlineLvl w:val="0"/>
        <w:rPr>
          <w:rFonts w:ascii="宋体" w:hAnsi="宋体" w:cs="宋体"/>
          <w:snapToGrid w:val="0"/>
          <w:color w:val="auto"/>
          <w:spacing w:val="-3"/>
          <w:szCs w:val="24"/>
          <w:highlight w:val="none"/>
        </w:rPr>
      </w:pPr>
      <w:bookmarkStart w:id="23" w:name="_Toc8802"/>
      <w:r>
        <w:rPr>
          <w:rFonts w:hint="eastAsia" w:ascii="宋体" w:hAnsi="宋体" w:cs="宋体"/>
          <w:snapToGrid w:val="0"/>
          <w:color w:val="auto"/>
          <w:spacing w:val="-3"/>
          <w:szCs w:val="24"/>
          <w:highlight w:val="none"/>
        </w:rPr>
        <w:t>附录 3 资格审查条件（信誉最低要求）</w:t>
      </w:r>
      <w:bookmarkEnd w:id="23"/>
    </w:p>
    <w:p w14:paraId="43BB682B">
      <w:pPr>
        <w:pStyle w:val="12"/>
        <w:kinsoku w:val="0"/>
        <w:overflowPunct w:val="0"/>
        <w:spacing w:before="4" w:line="360" w:lineRule="auto"/>
        <w:ind w:left="0"/>
        <w:rPr>
          <w:rFonts w:hint="default" w:cs="宋体"/>
          <w:color w:val="auto"/>
          <w:sz w:val="2"/>
          <w:highlight w:val="none"/>
        </w:rPr>
      </w:pPr>
    </w:p>
    <w:tbl>
      <w:tblPr>
        <w:tblStyle w:val="21"/>
        <w:tblW w:w="0" w:type="auto"/>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742"/>
      </w:tblGrid>
      <w:tr w14:paraId="33FE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19" w:type="dxa"/>
            <w:tcBorders>
              <w:tl2br w:val="nil"/>
              <w:tr2bl w:val="nil"/>
            </w:tcBorders>
            <w:vAlign w:val="center"/>
          </w:tcPr>
          <w:p w14:paraId="7E1BBAD8">
            <w:pPr>
              <w:pStyle w:val="26"/>
              <w:kinsoku w:val="0"/>
              <w:overflowPunct w:val="0"/>
              <w:spacing w:before="138"/>
              <w:jc w:val="center"/>
              <w:rPr>
                <w:rFonts w:ascii="宋体" w:hAnsi="宋体" w:cs="宋体"/>
                <w:color w:val="auto"/>
                <w:sz w:val="21"/>
                <w:szCs w:val="21"/>
                <w:highlight w:val="none"/>
              </w:rPr>
            </w:pPr>
            <w:r>
              <w:rPr>
                <w:rFonts w:hint="eastAsia" w:ascii="宋体" w:hAnsi="宋体" w:cs="宋体"/>
                <w:b/>
                <w:color w:val="auto"/>
                <w:sz w:val="21"/>
                <w:szCs w:val="21"/>
                <w:highlight w:val="none"/>
              </w:rPr>
              <w:t>标段</w:t>
            </w:r>
          </w:p>
        </w:tc>
        <w:tc>
          <w:tcPr>
            <w:tcW w:w="7742" w:type="dxa"/>
            <w:tcBorders>
              <w:tl2br w:val="nil"/>
              <w:tr2bl w:val="nil"/>
            </w:tcBorders>
          </w:tcPr>
          <w:p w14:paraId="0DF30853">
            <w:pPr>
              <w:pStyle w:val="26"/>
              <w:kinsoku w:val="0"/>
              <w:overflowPunct w:val="0"/>
              <w:spacing w:before="138"/>
              <w:ind w:left="103"/>
              <w:jc w:val="center"/>
              <w:rPr>
                <w:rFonts w:ascii="宋体" w:hAnsi="宋体" w:cs="宋体"/>
                <w:color w:val="auto"/>
                <w:sz w:val="21"/>
                <w:szCs w:val="21"/>
                <w:highlight w:val="none"/>
              </w:rPr>
            </w:pPr>
            <w:r>
              <w:rPr>
                <w:rFonts w:hint="eastAsia" w:ascii="宋体" w:hAnsi="宋体" w:cs="宋体"/>
                <w:b/>
                <w:color w:val="auto"/>
                <w:sz w:val="21"/>
                <w:szCs w:val="21"/>
                <w:highlight w:val="none"/>
              </w:rPr>
              <w:t>信誉最低要求</w:t>
            </w:r>
            <w:r>
              <w:rPr>
                <w:rFonts w:hint="eastAsia" w:ascii="宋体" w:hAnsi="宋体" w:cs="宋体"/>
                <w:color w:val="auto"/>
                <w:sz w:val="21"/>
                <w:szCs w:val="21"/>
                <w:highlight w:val="none"/>
              </w:rPr>
              <w:t xml:space="preserve"> </w:t>
            </w:r>
          </w:p>
        </w:tc>
      </w:tr>
      <w:tr w14:paraId="22AA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trPr>
        <w:tc>
          <w:tcPr>
            <w:tcW w:w="1219" w:type="dxa"/>
            <w:tcBorders>
              <w:tl2br w:val="nil"/>
              <w:tr2bl w:val="nil"/>
            </w:tcBorders>
            <w:vAlign w:val="center"/>
          </w:tcPr>
          <w:p w14:paraId="0FCB9492">
            <w:pPr>
              <w:pStyle w:val="26"/>
              <w:kinsoku w:val="0"/>
              <w:overflowPunct w:val="0"/>
              <w:spacing w:before="146"/>
              <w:jc w:val="center"/>
              <w:rPr>
                <w:rFonts w:ascii="宋体" w:hAnsi="宋体" w:cs="宋体"/>
                <w:color w:val="auto"/>
                <w:sz w:val="21"/>
                <w:szCs w:val="21"/>
                <w:highlight w:val="none"/>
              </w:rPr>
            </w:pPr>
            <w:r>
              <w:rPr>
                <w:rFonts w:hint="eastAsia" w:ascii="宋体" w:hAnsi="宋体" w:cs="宋体"/>
                <w:color w:val="auto"/>
                <w:sz w:val="21"/>
                <w:szCs w:val="21"/>
                <w:highlight w:val="none"/>
              </w:rPr>
              <w:t>WZCG</w:t>
            </w:r>
          </w:p>
        </w:tc>
        <w:tc>
          <w:tcPr>
            <w:tcW w:w="7742" w:type="dxa"/>
            <w:tcBorders>
              <w:tl2br w:val="nil"/>
              <w:tr2bl w:val="nil"/>
            </w:tcBorders>
          </w:tcPr>
          <w:p w14:paraId="4DD8F769">
            <w:pPr>
              <w:pStyle w:val="12"/>
              <w:kinsoku w:val="0"/>
              <w:overflowPunct w:val="0"/>
              <w:spacing w:before="117" w:line="380" w:lineRule="exact"/>
              <w:ind w:left="0" w:right="144" w:firstLine="420" w:firstLineChars="200"/>
              <w:jc w:val="both"/>
              <w:rPr>
                <w:rFonts w:hint="default" w:cs="宋体"/>
                <w:color w:val="auto"/>
                <w:szCs w:val="21"/>
                <w:highlight w:val="none"/>
              </w:rPr>
            </w:pPr>
          </w:p>
          <w:p w14:paraId="0E5D07C0">
            <w:pPr>
              <w:pStyle w:val="12"/>
              <w:kinsoku w:val="0"/>
              <w:overflowPunct w:val="0"/>
              <w:spacing w:before="117" w:line="380" w:lineRule="exact"/>
              <w:ind w:left="0" w:right="144" w:firstLine="420" w:firstLineChars="200"/>
              <w:jc w:val="both"/>
              <w:rPr>
                <w:rFonts w:hint="default" w:cs="宋体"/>
                <w:color w:val="auto"/>
                <w:szCs w:val="21"/>
                <w:highlight w:val="none"/>
              </w:rPr>
            </w:pPr>
            <w:r>
              <w:rPr>
                <w:rFonts w:cs="宋体"/>
                <w:color w:val="auto"/>
                <w:szCs w:val="21"/>
                <w:highlight w:val="none"/>
              </w:rPr>
              <w:t>1.招选截止日前在国家企业信用信息公示系统（http//www.gsxt.gov.cn）中被列入严重违法失信企业名单，不得参加招选。</w:t>
            </w:r>
          </w:p>
          <w:p w14:paraId="3E0BCE59">
            <w:pPr>
              <w:pStyle w:val="12"/>
              <w:kinsoku w:val="0"/>
              <w:overflowPunct w:val="0"/>
              <w:spacing w:before="32" w:line="380" w:lineRule="exact"/>
              <w:ind w:left="0" w:right="144" w:firstLine="420" w:firstLineChars="200"/>
              <w:jc w:val="both"/>
              <w:rPr>
                <w:rFonts w:hint="default" w:cs="宋体"/>
                <w:color w:val="auto"/>
                <w:szCs w:val="21"/>
                <w:highlight w:val="none"/>
              </w:rPr>
            </w:pPr>
            <w:r>
              <w:rPr>
                <w:rFonts w:cs="宋体"/>
                <w:color w:val="auto"/>
                <w:szCs w:val="21"/>
                <w:highlight w:val="none"/>
              </w:rPr>
              <w:t>2.招选截止日前在对通过“信用中国”网站（http://www.creditchina.gov.cn/）查询“失信被执行人”链接“中国执行信息公开网（</w:t>
            </w:r>
            <w:r>
              <w:rPr>
                <w:color w:val="auto"/>
                <w:highlight w:val="none"/>
              </w:rPr>
              <w:fldChar w:fldCharType="begin"/>
            </w:r>
            <w:r>
              <w:rPr>
                <w:color w:val="auto"/>
                <w:highlight w:val="none"/>
              </w:rPr>
              <w:instrText xml:space="preserve"> HYPERLINK "http://zxgk.court.gov.cn/shixin/" </w:instrText>
            </w:r>
            <w:r>
              <w:rPr>
                <w:color w:val="auto"/>
                <w:highlight w:val="none"/>
              </w:rPr>
              <w:fldChar w:fldCharType="separate"/>
            </w:r>
            <w:r>
              <w:rPr>
                <w:rFonts w:cs="宋体"/>
                <w:color w:val="auto"/>
                <w:szCs w:val="21"/>
                <w:highlight w:val="none"/>
              </w:rPr>
              <w:t>http://zxgk.court.gov.cn/shixin/</w:t>
            </w:r>
            <w:r>
              <w:rPr>
                <w:rFonts w:cs="宋体"/>
                <w:color w:val="auto"/>
                <w:szCs w:val="21"/>
                <w:highlight w:val="none"/>
              </w:rPr>
              <w:fldChar w:fldCharType="end"/>
            </w:r>
            <w:r>
              <w:rPr>
                <w:rFonts w:cs="宋体"/>
                <w:color w:val="auto"/>
                <w:szCs w:val="21"/>
                <w:highlight w:val="none"/>
              </w:rPr>
              <w:t>）”中列为失信被执行人的比选人，不得参加招选。</w:t>
            </w:r>
          </w:p>
          <w:p w14:paraId="6A359C64">
            <w:pPr>
              <w:pStyle w:val="12"/>
              <w:kinsoku w:val="0"/>
              <w:overflowPunct w:val="0"/>
              <w:spacing w:before="32" w:line="380" w:lineRule="exact"/>
              <w:ind w:left="0" w:right="144" w:firstLine="420" w:firstLineChars="200"/>
              <w:jc w:val="both"/>
              <w:rPr>
                <w:rFonts w:hint="default" w:cs="宋体"/>
                <w:color w:val="auto"/>
                <w:szCs w:val="21"/>
                <w:highlight w:val="none"/>
              </w:rPr>
            </w:pPr>
            <w:r>
              <w:rPr>
                <w:rFonts w:cs="宋体"/>
                <w:color w:val="auto"/>
                <w:szCs w:val="21"/>
                <w:highlight w:val="none"/>
              </w:rPr>
              <w:t>3.在2021年1月1日至本项目招选截止日期间，比选人（单位）、法定代表人、拟任项目负责人被人民法院生效判决为行贿犯罪的，不得参加招选。</w:t>
            </w:r>
          </w:p>
          <w:p w14:paraId="1E57B660">
            <w:pPr>
              <w:pStyle w:val="12"/>
              <w:kinsoku w:val="0"/>
              <w:overflowPunct w:val="0"/>
              <w:spacing w:before="32"/>
              <w:ind w:left="0" w:right="144" w:firstLine="420" w:firstLineChars="200"/>
              <w:jc w:val="both"/>
              <w:rPr>
                <w:rFonts w:hint="default" w:cs="宋体"/>
                <w:color w:val="auto"/>
                <w:szCs w:val="21"/>
                <w:highlight w:val="none"/>
              </w:rPr>
            </w:pPr>
          </w:p>
        </w:tc>
      </w:tr>
    </w:tbl>
    <w:p w14:paraId="109FDBDD">
      <w:pPr>
        <w:widowControl/>
        <w:snapToGrid w:val="0"/>
        <w:jc w:val="center"/>
        <w:textAlignment w:val="baseline"/>
        <w:outlineLvl w:val="0"/>
        <w:rPr>
          <w:rFonts w:ascii="宋体" w:hAnsi="宋体" w:cs="宋体"/>
          <w:color w:val="auto"/>
          <w:sz w:val="28"/>
          <w:highlight w:val="none"/>
        </w:rPr>
      </w:pPr>
    </w:p>
    <w:p w14:paraId="74F188C9">
      <w:pPr>
        <w:widowControl/>
        <w:snapToGrid w:val="0"/>
        <w:jc w:val="center"/>
        <w:textAlignment w:val="baseline"/>
        <w:outlineLvl w:val="0"/>
        <w:rPr>
          <w:rFonts w:ascii="宋体" w:hAnsi="宋体" w:cs="宋体"/>
          <w:snapToGrid w:val="0"/>
          <w:color w:val="auto"/>
          <w:spacing w:val="-3"/>
          <w:szCs w:val="24"/>
          <w:highlight w:val="none"/>
        </w:rPr>
      </w:pPr>
    </w:p>
    <w:p w14:paraId="7F8BBF20">
      <w:pPr>
        <w:widowControl/>
        <w:snapToGrid w:val="0"/>
        <w:jc w:val="center"/>
        <w:textAlignment w:val="baseline"/>
        <w:outlineLvl w:val="0"/>
        <w:rPr>
          <w:rFonts w:ascii="宋体" w:hAnsi="宋体" w:cs="宋体"/>
          <w:snapToGrid w:val="0"/>
          <w:color w:val="auto"/>
          <w:spacing w:val="-3"/>
          <w:szCs w:val="24"/>
          <w:highlight w:val="none"/>
        </w:rPr>
      </w:pPr>
    </w:p>
    <w:p w14:paraId="293DA2BF">
      <w:pPr>
        <w:widowControl/>
        <w:snapToGrid w:val="0"/>
        <w:jc w:val="center"/>
        <w:textAlignment w:val="baseline"/>
        <w:outlineLvl w:val="0"/>
        <w:rPr>
          <w:rFonts w:ascii="宋体" w:hAnsi="宋体" w:cs="宋体"/>
          <w:snapToGrid w:val="0"/>
          <w:color w:val="auto"/>
          <w:spacing w:val="-3"/>
          <w:szCs w:val="24"/>
          <w:highlight w:val="none"/>
        </w:rPr>
      </w:pPr>
    </w:p>
    <w:p w14:paraId="2DEAEC0B">
      <w:pPr>
        <w:widowControl/>
        <w:snapToGrid w:val="0"/>
        <w:jc w:val="center"/>
        <w:textAlignment w:val="baseline"/>
        <w:outlineLvl w:val="0"/>
        <w:rPr>
          <w:rFonts w:ascii="宋体" w:hAnsi="宋体" w:cs="宋体"/>
          <w:snapToGrid w:val="0"/>
          <w:color w:val="auto"/>
          <w:spacing w:val="-3"/>
          <w:szCs w:val="24"/>
          <w:highlight w:val="none"/>
        </w:rPr>
      </w:pPr>
    </w:p>
    <w:p w14:paraId="7A4C3508">
      <w:pPr>
        <w:widowControl/>
        <w:snapToGrid w:val="0"/>
        <w:jc w:val="center"/>
        <w:textAlignment w:val="baseline"/>
        <w:outlineLvl w:val="0"/>
        <w:rPr>
          <w:rFonts w:ascii="宋体" w:hAnsi="宋体" w:cs="宋体"/>
          <w:snapToGrid w:val="0"/>
          <w:color w:val="auto"/>
          <w:spacing w:val="-3"/>
          <w:szCs w:val="24"/>
          <w:highlight w:val="none"/>
        </w:rPr>
      </w:pPr>
    </w:p>
    <w:p w14:paraId="6E0F7852">
      <w:pPr>
        <w:widowControl/>
        <w:snapToGrid w:val="0"/>
        <w:jc w:val="center"/>
        <w:textAlignment w:val="baseline"/>
        <w:outlineLvl w:val="0"/>
        <w:rPr>
          <w:rFonts w:ascii="宋体" w:hAnsi="宋体" w:cs="宋体"/>
          <w:snapToGrid w:val="0"/>
          <w:color w:val="auto"/>
          <w:spacing w:val="-3"/>
          <w:szCs w:val="24"/>
          <w:highlight w:val="none"/>
        </w:rPr>
      </w:pPr>
    </w:p>
    <w:p w14:paraId="51295B21">
      <w:pPr>
        <w:widowControl/>
        <w:snapToGrid w:val="0"/>
        <w:jc w:val="center"/>
        <w:textAlignment w:val="baseline"/>
        <w:outlineLvl w:val="0"/>
        <w:rPr>
          <w:rFonts w:ascii="宋体" w:hAnsi="宋体" w:cs="宋体"/>
          <w:snapToGrid w:val="0"/>
          <w:color w:val="auto"/>
          <w:spacing w:val="-3"/>
          <w:szCs w:val="24"/>
          <w:highlight w:val="none"/>
        </w:rPr>
      </w:pPr>
    </w:p>
    <w:p w14:paraId="704C484E">
      <w:pPr>
        <w:widowControl/>
        <w:snapToGrid w:val="0"/>
        <w:jc w:val="center"/>
        <w:textAlignment w:val="baseline"/>
        <w:outlineLvl w:val="0"/>
        <w:rPr>
          <w:rFonts w:ascii="宋体" w:hAnsi="宋体" w:cs="宋体"/>
          <w:snapToGrid w:val="0"/>
          <w:color w:val="auto"/>
          <w:spacing w:val="-3"/>
          <w:szCs w:val="24"/>
          <w:highlight w:val="none"/>
        </w:rPr>
      </w:pPr>
    </w:p>
    <w:p w14:paraId="32FE3D2C">
      <w:pPr>
        <w:widowControl/>
        <w:snapToGrid w:val="0"/>
        <w:jc w:val="center"/>
        <w:textAlignment w:val="baseline"/>
        <w:outlineLvl w:val="0"/>
        <w:rPr>
          <w:rFonts w:ascii="宋体" w:hAnsi="宋体" w:cs="宋体"/>
          <w:snapToGrid w:val="0"/>
          <w:color w:val="auto"/>
          <w:spacing w:val="-3"/>
          <w:szCs w:val="24"/>
          <w:highlight w:val="none"/>
        </w:rPr>
      </w:pPr>
    </w:p>
    <w:p w14:paraId="6D790951">
      <w:pPr>
        <w:pStyle w:val="12"/>
        <w:kinsoku w:val="0"/>
        <w:overflowPunct w:val="0"/>
        <w:spacing w:before="14" w:line="360" w:lineRule="auto"/>
        <w:ind w:left="153"/>
        <w:jc w:val="center"/>
        <w:rPr>
          <w:rFonts w:hint="default" w:cs="宋体"/>
          <w:color w:val="auto"/>
          <w:sz w:val="28"/>
          <w:highlight w:val="none"/>
        </w:rPr>
      </w:pPr>
      <w:r>
        <w:rPr>
          <w:rFonts w:cs="宋体"/>
          <w:b/>
          <w:color w:val="auto"/>
          <w:sz w:val="32"/>
          <w:szCs w:val="32"/>
          <w:highlight w:val="none"/>
        </w:rPr>
        <w:t>比选人须知（正文）</w:t>
      </w:r>
    </w:p>
    <w:p w14:paraId="5561C56F">
      <w:pPr>
        <w:pStyle w:val="12"/>
        <w:kinsoku w:val="0"/>
        <w:overflowPunct w:val="0"/>
        <w:spacing w:before="0" w:line="560" w:lineRule="exact"/>
        <w:ind w:left="0" w:firstLine="560" w:firstLineChars="200"/>
        <w:rPr>
          <w:rFonts w:hint="default" w:cs="宋体"/>
          <w:b/>
          <w:color w:val="auto"/>
          <w:sz w:val="28"/>
          <w:highlight w:val="none"/>
        </w:rPr>
      </w:pPr>
      <w:r>
        <w:rPr>
          <w:rFonts w:cs="宋体"/>
          <w:color w:val="auto"/>
          <w:sz w:val="28"/>
          <w:highlight w:val="none"/>
        </w:rPr>
        <w:t>1.</w:t>
      </w:r>
      <w:r>
        <w:rPr>
          <w:rFonts w:cs="宋体"/>
          <w:b/>
          <w:color w:val="auto"/>
          <w:sz w:val="28"/>
          <w:highlight w:val="none"/>
        </w:rPr>
        <w:t>总则</w:t>
      </w:r>
    </w:p>
    <w:p w14:paraId="0F260019">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1.1 招选项目概况</w:t>
      </w:r>
    </w:p>
    <w:p w14:paraId="5CD48B2A">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1.1.1 根据《中华人民共和国招标投标法》、《中华人民共和国招标投标法实施条例》等有关法律、法规和规章的规定，本招选项目已具备招选条件，现对</w:t>
      </w:r>
      <w:r>
        <w:rPr>
          <w:rFonts w:hint="eastAsia" w:cs="宋体"/>
          <w:color w:val="auto"/>
          <w:szCs w:val="22"/>
          <w:highlight w:val="none"/>
          <w:lang w:eastAsia="zh-CN"/>
        </w:rPr>
        <w:t>（</w:t>
      </w:r>
      <w:r>
        <w:rPr>
          <w:rFonts w:hint="eastAsia" w:cs="宋体"/>
          <w:color w:val="auto"/>
          <w:szCs w:val="22"/>
          <w:highlight w:val="none"/>
          <w:lang w:val="en-US" w:eastAsia="zh-CN"/>
        </w:rPr>
        <w:t>长宁段）土地测绘和地籍调查</w:t>
      </w:r>
      <w:r>
        <w:rPr>
          <w:rFonts w:cs="宋体"/>
          <w:color w:val="auto"/>
          <w:szCs w:val="22"/>
          <w:highlight w:val="none"/>
        </w:rPr>
        <w:t>进行</w:t>
      </w:r>
      <w:r>
        <w:rPr>
          <w:rFonts w:cs="宋体"/>
          <w:color w:val="auto"/>
          <w:szCs w:val="21"/>
          <w:highlight w:val="none"/>
        </w:rPr>
        <w:t>招选</w:t>
      </w:r>
      <w:r>
        <w:rPr>
          <w:rFonts w:cs="宋体"/>
          <w:color w:val="auto"/>
          <w:szCs w:val="22"/>
          <w:highlight w:val="none"/>
        </w:rPr>
        <w:t>。</w:t>
      </w:r>
    </w:p>
    <w:p w14:paraId="54A47F74">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1.1.2 招选人：见比选人须知前附表。</w:t>
      </w:r>
    </w:p>
    <w:p w14:paraId="367A04FB">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1.1.3 招选项目名称：见比选人须知前附表。</w:t>
      </w:r>
    </w:p>
    <w:p w14:paraId="6110AD3E">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1.2 招选项目的资金来源和落实情况</w:t>
      </w:r>
    </w:p>
    <w:p w14:paraId="2F189D0B">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1.2.1 资金来源及比例：见比选人须知前附表。</w:t>
      </w:r>
    </w:p>
    <w:p w14:paraId="05770688">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1.2.2 资金落实情况：见比选人须知前附表。</w:t>
      </w:r>
    </w:p>
    <w:p w14:paraId="747D545A">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1.3 比选范围、交货期、交货地点</w:t>
      </w:r>
    </w:p>
    <w:p w14:paraId="1D52EE6C">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1.3.1 比选范围：见比选人须知前附表。</w:t>
      </w:r>
    </w:p>
    <w:p w14:paraId="48B1F5E3">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1.3.2 交货期：见比选人须知前附表。</w:t>
      </w:r>
    </w:p>
    <w:p w14:paraId="23360446">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1.3.3 交货地点：见比选人须知前附表。</w:t>
      </w:r>
    </w:p>
    <w:p w14:paraId="63503653">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1.4 比选人资格要求</w:t>
      </w:r>
    </w:p>
    <w:p w14:paraId="0D16D2F5">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1.4.1 比选人应具备承担本招选项目资质条件、能力和信誉：</w:t>
      </w:r>
    </w:p>
    <w:p w14:paraId="07439F1C">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（1）资质要求：见比选人须知前附表；</w:t>
      </w:r>
    </w:p>
    <w:p w14:paraId="7B6A9E88">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（2）业绩要求：见比选人须知前附表；</w:t>
      </w:r>
    </w:p>
    <w:p w14:paraId="40F4F5B3">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（3）信誉要求：见比选人须知前附表；</w:t>
      </w:r>
    </w:p>
    <w:p w14:paraId="0F37374C">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（4）其他要求：见比选人须知前附表；</w:t>
      </w:r>
    </w:p>
    <w:p w14:paraId="2E33BD58">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1.4.2 比选人须知前附表规定接受联合体比选的，联合体除应符合本章第1.4.1项和比选人须知前附表的要求外，还应遵守以下规定：</w:t>
      </w:r>
    </w:p>
    <w:p w14:paraId="4609A36D">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（1）联合体各方应按招选文件提供的格式签订联合体协议书，明确联合体牵头人和各方权利义务，并承诺就中标项目向招选人承担连带责任；</w:t>
      </w:r>
    </w:p>
    <w:p w14:paraId="63E6B601">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（2）由同一专业的单位组成的联合体，按照资质等级较低的单位确定资质等级；</w:t>
      </w:r>
    </w:p>
    <w:p w14:paraId="747FE3F7">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（3）联合体各方不得再以自己名义单独或参加其他联合体在本招选项目中比选，否则各相关比选均无效。</w:t>
      </w:r>
    </w:p>
    <w:p w14:paraId="211B228E">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1.4.3 比选人不得存在下列情形之一：</w:t>
      </w:r>
    </w:p>
    <w:p w14:paraId="2F0F1036">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（1）与招选人存在利害关系且可能影响比选公正性；</w:t>
      </w:r>
    </w:p>
    <w:p w14:paraId="048D886D">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（2）与本招选项目的其他比选人为同一个单位负责人；</w:t>
      </w:r>
    </w:p>
    <w:p w14:paraId="779281B6">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（3）与本招选项目的其他比选人存在控股、管理关系；</w:t>
      </w:r>
    </w:p>
    <w:p w14:paraId="770C0CCA">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（4）与本招选项目其他比选人代理同一个制造商同一品牌的设备比选；</w:t>
      </w:r>
    </w:p>
    <w:p w14:paraId="4A7966A0">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（5）为本招选项目提供过设计、编制技术规范和其他文件的咨询服务；</w:t>
      </w:r>
    </w:p>
    <w:p w14:paraId="33121DDC">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（6）为本工程项目的相关监理人，或者与本工程项目的相关监理人存在隶属关系或者其他利害关系；</w:t>
      </w:r>
    </w:p>
    <w:p w14:paraId="3C36668B">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（7）为本招选项目的代建人；</w:t>
      </w:r>
    </w:p>
    <w:p w14:paraId="6446ACE2">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（8）为本招选项目的比选代理机构；</w:t>
      </w:r>
    </w:p>
    <w:p w14:paraId="0164CEF0">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（9）与本招选项目的监理人或代建人或比选代理机构同为一个法定代表人；</w:t>
      </w:r>
    </w:p>
    <w:p w14:paraId="6E8AF4B1">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（10）与本招选项目的监理人或代建人或比选代理机构存在控股或参股关系；</w:t>
      </w:r>
    </w:p>
    <w:p w14:paraId="5D640A62">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（11）被依法暂停或者取消比选资格；</w:t>
      </w:r>
    </w:p>
    <w:p w14:paraId="333DF263">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（12）被责令停产停业、暂扣或者吊销许可证、暂扣或者吊销执照；</w:t>
      </w:r>
    </w:p>
    <w:p w14:paraId="281A5C86">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（13）进入清算程序，或被宣告破产，或其他丧失履约能力的情形；</w:t>
      </w:r>
    </w:p>
    <w:p w14:paraId="04B38FF3">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（14）在最近三年内发生重大产品质量问题（以相关行业主管部门的行政处罚决定或司法机关出具的有关法律文书为准）；</w:t>
      </w:r>
    </w:p>
    <w:p w14:paraId="7CF0E818">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（15）被工商行政管理机关在全国企业信用信息公示系统中列入严重违法失信企业名单；</w:t>
      </w:r>
    </w:p>
    <w:p w14:paraId="5D3E8AAB">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（16）被最高人民法院在“信用中国”网站（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cs="宋体"/>
          <w:color w:val="auto"/>
          <w:szCs w:val="22"/>
          <w:highlight w:val="none"/>
        </w:rPr>
        <w:t>www.creditchina.gov.cn</w:t>
      </w:r>
      <w:r>
        <w:rPr>
          <w:rFonts w:cs="宋体"/>
          <w:color w:val="auto"/>
          <w:szCs w:val="22"/>
          <w:highlight w:val="none"/>
        </w:rPr>
        <w:fldChar w:fldCharType="end"/>
      </w:r>
      <w:r>
        <w:rPr>
          <w:rFonts w:cs="宋体"/>
          <w:color w:val="auto"/>
          <w:szCs w:val="22"/>
          <w:highlight w:val="none"/>
        </w:rPr>
        <w:t>）或各级信用信息共享平台中列入失信被执行人名单；</w:t>
      </w:r>
    </w:p>
    <w:p w14:paraId="7CE8EF17">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（17）比选人（单位）、现任法定代表人、主要负责人近三年没有被人民法院生效判决或裁定认定为行贿犯罪的；</w:t>
      </w:r>
    </w:p>
    <w:p w14:paraId="3805CD56">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（18）法律法规或比选人须知前附表规定的其他情形。</w:t>
      </w:r>
    </w:p>
    <w:p w14:paraId="56A3DFAB">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1.5 费用承担</w:t>
      </w:r>
    </w:p>
    <w:p w14:paraId="2D7711B9">
      <w:pPr>
        <w:pStyle w:val="12"/>
        <w:kinsoku w:val="0"/>
        <w:overflowPunct w:val="0"/>
        <w:spacing w:before="0" w:line="560" w:lineRule="exact"/>
        <w:ind w:left="0" w:firstLine="420" w:firstLineChars="200"/>
        <w:rPr>
          <w:rFonts w:hint="default" w:cs="宋体"/>
          <w:color w:val="auto"/>
          <w:sz w:val="19"/>
          <w:highlight w:val="none"/>
        </w:rPr>
      </w:pPr>
      <w:r>
        <w:rPr>
          <w:rFonts w:cs="宋体"/>
          <w:color w:val="auto"/>
          <w:highlight w:val="none"/>
        </w:rPr>
        <w:t>比选人准备和参加比选活动发生的费用自理。</w:t>
      </w:r>
    </w:p>
    <w:p w14:paraId="2910DC64">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1.6 保密</w:t>
      </w:r>
    </w:p>
    <w:p w14:paraId="09E74FC5">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参与比选活动的各方应对招选文件和比选文件中的商业和技术等秘密保密，否则应承担相应的法律责任。</w:t>
      </w:r>
    </w:p>
    <w:p w14:paraId="2B2DEEDA">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1.7 语言文字</w:t>
      </w:r>
    </w:p>
    <w:p w14:paraId="366EC2E7">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招选文件使用的语言文字为中文。专用术语使用外文的，应附有中文注释。</w:t>
      </w:r>
    </w:p>
    <w:p w14:paraId="15687EC7">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1.8 计量单位</w:t>
      </w:r>
    </w:p>
    <w:p w14:paraId="0A1DF43E">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所有计量均采用中华人民共和国法定计量单位。</w:t>
      </w:r>
    </w:p>
    <w:p w14:paraId="06586C28">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1.9 招选预备会</w:t>
      </w:r>
    </w:p>
    <w:p w14:paraId="2FA5533B">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1.9.1 比选人须知前附表规定召开招选预备会的，比选人按比选人须知前附表规定的时间和地点召开招选预备会，澄清比选人提出的问题。</w:t>
      </w:r>
    </w:p>
    <w:p w14:paraId="0202E2C4">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1.9.2 比选人应按比选人须知前附表规定的时间和形式将提出的问题送达招选人，以便招选人在会议期间澄清。</w:t>
      </w:r>
    </w:p>
    <w:p w14:paraId="0773D1AC">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1.9.3 招选预备会后，招选人将对比选人所提问题的澄清，以比选人须知前附表规定的形式通知所有的比选人。该澄清内容为招选文件的组成部分。</w:t>
      </w:r>
    </w:p>
    <w:p w14:paraId="45BE7A2E">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1.10 分包</w:t>
      </w:r>
    </w:p>
    <w:p w14:paraId="150B572D">
      <w:pPr>
        <w:pStyle w:val="12"/>
        <w:kinsoku w:val="0"/>
        <w:overflowPunct w:val="0"/>
        <w:spacing w:before="0" w:line="560" w:lineRule="exact"/>
        <w:ind w:left="0" w:firstLine="420" w:firstLineChars="200"/>
        <w:rPr>
          <w:rFonts w:hint="default" w:cs="宋体"/>
          <w:color w:val="auto"/>
          <w:sz w:val="19"/>
          <w:highlight w:val="none"/>
        </w:rPr>
      </w:pPr>
      <w:r>
        <w:rPr>
          <w:rFonts w:cs="宋体"/>
          <w:color w:val="auto"/>
          <w:highlight w:val="none"/>
        </w:rPr>
        <w:t>见比选人须知前附表。</w:t>
      </w:r>
    </w:p>
    <w:p w14:paraId="285A8CBB">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1.11 响应和偏差</w:t>
      </w:r>
    </w:p>
    <w:p w14:paraId="51B9B8C7">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1.11.1  比选文件偏离招选文件某些要求，视为比选文件存在偏差。偏差包括重大偏差和细微偏差。</w:t>
      </w:r>
    </w:p>
    <w:p w14:paraId="6AF82D8C">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1.11.2 比选文件应对招选文件的实质性要求和条件作出满足性或更有利于招选人的响应，否则，视 为比选文件存在重大偏差，比选人的比选将被否决。</w:t>
      </w:r>
    </w:p>
    <w:p w14:paraId="4C0260BE">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比选文件存在第三章“招选办法 ”中所列任一否决招选情形的，均属于存在重大偏差。</w:t>
      </w:r>
    </w:p>
    <w:p w14:paraId="4A05F0D8">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1.11.3  比选文件中的下列偏差为细微偏差：</w:t>
      </w:r>
    </w:p>
    <w:p w14:paraId="333C4FBF">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（1）在按照第三章“招选办法 ”的规定对比选价进行算术性错误修正后，最终比选报价未超过最高投 标限价（如有）的情况下，出现第三章“招选办法 ”规定的算术性错误；</w:t>
      </w:r>
    </w:p>
    <w:p w14:paraId="4E205D17">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（2）比选文件页码不连续、采用活页夹装订、个别文字有遗漏错误等不影响比选文件实质性内容的 偏差。</w:t>
      </w:r>
    </w:p>
    <w:p w14:paraId="50BA1F3A">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1.11.4  评选委员会对比选文件中的细微偏差按如下规定处理：</w:t>
      </w:r>
    </w:p>
    <w:p w14:paraId="466D3C43">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(1)对于本章第1.12.3 项(1)目所述的细微偏差，按照第三章“招选办法 ”的规定予以修正并要求 比选人进行澄清；</w:t>
      </w:r>
    </w:p>
    <w:p w14:paraId="3B2AD5BF">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(2)对于本章第1.12.3 项（2）、 (3)目所述的细微偏差，可在相关评分因素的评分中酌情扣分。</w:t>
      </w:r>
    </w:p>
    <w:p w14:paraId="6BBE1ABD">
      <w:pPr>
        <w:pStyle w:val="12"/>
        <w:kinsoku w:val="0"/>
        <w:overflowPunct w:val="0"/>
        <w:spacing w:before="0" w:line="560" w:lineRule="exact"/>
        <w:ind w:left="0" w:firstLine="562" w:firstLineChars="200"/>
        <w:rPr>
          <w:rFonts w:hint="default" w:cs="宋体"/>
          <w:b/>
          <w:bCs/>
          <w:color w:val="auto"/>
          <w:sz w:val="28"/>
          <w:highlight w:val="none"/>
        </w:rPr>
      </w:pPr>
      <w:r>
        <w:rPr>
          <w:rFonts w:cs="宋体"/>
          <w:b/>
          <w:bCs/>
          <w:color w:val="auto"/>
          <w:sz w:val="28"/>
          <w:highlight w:val="none"/>
        </w:rPr>
        <w:t>2.招选文件</w:t>
      </w:r>
    </w:p>
    <w:p w14:paraId="6AE93679">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2.1 招选文件的组成</w:t>
      </w:r>
    </w:p>
    <w:p w14:paraId="1F1144C0">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本招选文件包括：</w:t>
      </w:r>
    </w:p>
    <w:p w14:paraId="6D2054DE">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（1）招选公告；</w:t>
      </w:r>
    </w:p>
    <w:p w14:paraId="5FCF9D98">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（2）比选人须知；</w:t>
      </w:r>
    </w:p>
    <w:p w14:paraId="76FB4BE4">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（3）招选办法；</w:t>
      </w:r>
    </w:p>
    <w:p w14:paraId="4BAA152E">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（4）合同条款及格式；</w:t>
      </w:r>
    </w:p>
    <w:p w14:paraId="3FFD090E">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（5）招选文件格式；</w:t>
      </w:r>
    </w:p>
    <w:p w14:paraId="6A3259C1">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（6）比选人须知前附表规定的其他资料。</w:t>
      </w:r>
    </w:p>
    <w:p w14:paraId="71F0B025">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2.2 招选文件的澄清</w:t>
      </w:r>
    </w:p>
    <w:p w14:paraId="126FF7CB">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2.2.1 比选人应仔细阅读和检查招选文件的全部内容。如发现缺页或附件不全，应及时向招选人提出，以便补齐。如有疑问，应按比选人须知前附表规定的时间和形式将提出的问题送达招选人，要求招选人对招选文件予以澄清。</w:t>
      </w:r>
    </w:p>
    <w:p w14:paraId="1BA37F02">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2.2.2 招选文件的澄清以比选人须知前附表规定的形式发给所有比选人，但不指明澄清问题的来源。澄清发出的时间距本章第4.2.1项规定的比选截止时间不足15日的，并且澄清内容可能影响招选文件编制的，将相应延长招选截止时间。</w:t>
      </w:r>
    </w:p>
    <w:p w14:paraId="64C8EC13">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2.2.3 比选人在收到澄清后，应按比选人须知前附表规定的时间和形式通知招选人，确认已收到该澄清。</w:t>
      </w:r>
    </w:p>
    <w:p w14:paraId="716A23AE">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2.2.4 除非招选人认为确有必要答复，否则，招选人有权拒绝回复比选人在本章第2.2.1项规定的时间后的任何澄清要求。</w:t>
      </w:r>
    </w:p>
    <w:p w14:paraId="62E073B6">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2.3 招选文件的修改</w:t>
      </w:r>
    </w:p>
    <w:p w14:paraId="0FDC0FC0">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2.3.1 招选人以比选人须知前附表规定的形式修改招选文件，并通知所有的比选人。修改招选文件的时间距本章第4.2.1项规定的比选截止时间不足15日的，并且修改内容可能影响招选文件编制的，将相应延长比选截止时间。</w:t>
      </w:r>
    </w:p>
    <w:p w14:paraId="6C556A04">
      <w:pPr>
        <w:pStyle w:val="12"/>
        <w:kinsoku w:val="0"/>
        <w:overflowPunct w:val="0"/>
        <w:spacing w:before="0" w:line="560" w:lineRule="exact"/>
        <w:ind w:left="0" w:firstLine="420" w:firstLineChars="200"/>
        <w:rPr>
          <w:rFonts w:hint="default" w:cs="宋体"/>
          <w:color w:val="auto"/>
          <w:highlight w:val="none"/>
        </w:rPr>
      </w:pPr>
      <w:r>
        <w:rPr>
          <w:rFonts w:cs="宋体"/>
          <w:color w:val="auto"/>
          <w:szCs w:val="22"/>
          <w:highlight w:val="none"/>
        </w:rPr>
        <w:t>2.3.2 比选人收到修改内容后，应按比选人须知前附表规定的时间和形式通知招选人，确认已收到该</w:t>
      </w:r>
      <w:r>
        <w:rPr>
          <w:rFonts w:cs="宋体"/>
          <w:color w:val="auto"/>
          <w:highlight w:val="none"/>
        </w:rPr>
        <w:t>修改。</w:t>
      </w:r>
    </w:p>
    <w:p w14:paraId="11F7C7F2">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2.4 招选文件的异议</w:t>
      </w:r>
    </w:p>
    <w:p w14:paraId="50902380">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比选人或者其他利害关系人对招选文件有异议的，应当在比选截止时间10日前以书面形式提出。比选人将在收到异议之日起3日内作出答复；作出答复前，将暂停招选活动。</w:t>
      </w:r>
    </w:p>
    <w:p w14:paraId="4B9DAFB3">
      <w:pPr>
        <w:pStyle w:val="12"/>
        <w:kinsoku w:val="0"/>
        <w:overflowPunct w:val="0"/>
        <w:spacing w:before="0" w:line="560" w:lineRule="exact"/>
        <w:ind w:left="0" w:firstLine="562" w:firstLineChars="200"/>
        <w:rPr>
          <w:rFonts w:hint="default" w:cs="宋体"/>
          <w:b/>
          <w:bCs/>
          <w:color w:val="auto"/>
          <w:sz w:val="28"/>
          <w:highlight w:val="none"/>
        </w:rPr>
      </w:pPr>
      <w:r>
        <w:rPr>
          <w:rFonts w:cs="宋体"/>
          <w:b/>
          <w:bCs/>
          <w:color w:val="auto"/>
          <w:sz w:val="28"/>
          <w:highlight w:val="none"/>
        </w:rPr>
        <w:t>3.比选文件</w:t>
      </w:r>
    </w:p>
    <w:p w14:paraId="7A6DCCB5">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3.1 比选文件的组成</w:t>
      </w:r>
    </w:p>
    <w:p w14:paraId="721774AF">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3.1.1 比选文件应包括下列内容：</w:t>
      </w:r>
    </w:p>
    <w:p w14:paraId="4B3FF150">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（1）比选函；</w:t>
      </w:r>
    </w:p>
    <w:p w14:paraId="6C402298">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（2）法定代表人（单位负责人）身份证明或授权委托书；</w:t>
      </w:r>
    </w:p>
    <w:p w14:paraId="627D47DB">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（3）资格审查资料；</w:t>
      </w:r>
    </w:p>
    <w:p w14:paraId="76DE7B7F">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（4）</w:t>
      </w:r>
      <w:r>
        <w:rPr>
          <w:rFonts w:hint="eastAsia" w:ascii="宋体" w:hAnsi="宋体" w:eastAsia="宋体" w:cs="宋体"/>
          <w:color w:val="auto"/>
          <w:sz w:val="21"/>
          <w:szCs w:val="22"/>
          <w:highlight w:val="none"/>
          <w:lang w:val="en-US" w:eastAsia="zh-CN" w:bidi="ar-SA"/>
        </w:rPr>
        <w:t>无行贿犯罪的承诺函</w:t>
      </w:r>
      <w:r>
        <w:rPr>
          <w:rFonts w:cs="宋体"/>
          <w:color w:val="auto"/>
          <w:szCs w:val="22"/>
          <w:highlight w:val="none"/>
        </w:rPr>
        <w:t>；</w:t>
      </w:r>
    </w:p>
    <w:p w14:paraId="3022B2ED">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（5）</w:t>
      </w:r>
      <w:r>
        <w:rPr>
          <w:rFonts w:hint="eastAsia" w:cs="宋体"/>
          <w:color w:val="auto"/>
          <w:szCs w:val="22"/>
          <w:highlight w:val="none"/>
          <w:lang w:val="en-US" w:eastAsia="zh-CN"/>
        </w:rPr>
        <w:t>资格证书。</w:t>
      </w:r>
    </w:p>
    <w:p w14:paraId="5CDD2A18">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比选人在招选过程中作出的符合法律法规和比选文件规定的澄清确认，构成比选文件的组成部分。</w:t>
      </w:r>
    </w:p>
    <w:p w14:paraId="211A7F68">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3.1.2 比选人须知前附表规定不接受联合体比选的，或比选人没有组成联合体的，比选文件不包括联合体协议书。</w:t>
      </w:r>
    </w:p>
    <w:p w14:paraId="1CCFBF19">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3.1.3 比选人须知前附表未要求提交比选保证金的，比选文件不包括比选保证金。</w:t>
      </w:r>
    </w:p>
    <w:p w14:paraId="1B617B96">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3.2 比选报价</w:t>
      </w:r>
    </w:p>
    <w:p w14:paraId="18D8CD49">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3.2.1比选报价应包括国家规定的增值税税金，除比选人须知前附表另有规定外，增值税税金按一般计税方法计算。比选人应按第五章“招选文件格式”的要求在比选函中进行报价。</w:t>
      </w:r>
    </w:p>
    <w:p w14:paraId="245DAE39">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3.2.2 比选人应充分了解该项目的总体情况以及影响比选报价的其他要素。</w:t>
      </w:r>
    </w:p>
    <w:p w14:paraId="5C231263">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3.2.3比选报价为各分项报价金额之和，比选报价与分项报价的合价不一致的，应以各分项合价累计数为准，修正比选报价；如分项报价中存在缺漏项，则视为缺漏项价格已包含在其他分项报价之中。此修改须符合本章第4.3款的有关要求。</w:t>
      </w:r>
    </w:p>
    <w:p w14:paraId="66E2261E">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3.2.4招选人设有最高比选限价的，比选人的比选报价不得超过最高比选限价，最高比选限价在比选人须知前附表中载明。</w:t>
      </w:r>
    </w:p>
    <w:p w14:paraId="66B200E1">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3.2.5比选报价的其他要求见比选人须知前附表。</w:t>
      </w:r>
    </w:p>
    <w:p w14:paraId="651E2760">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3.3 比选有效期</w:t>
      </w:r>
    </w:p>
    <w:p w14:paraId="18039686">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3.3.1 除比选人须知前附表另有规定外，比选有效期为90日。</w:t>
      </w:r>
    </w:p>
    <w:p w14:paraId="744F1BEB">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3.3.2 在比选有效期内，招选人撤销招选文件的，应承担招选文件和法律规定的责任。</w:t>
      </w:r>
    </w:p>
    <w:p w14:paraId="66828693">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3.3.3 出现特殊情况需要延长比选有效期的，招选人以书面形式通知所有比选人延长比选有效期。比选人应予以书面答复，同意延长的，应相应延长其比选保证金的有效期，但不得要求或被允许修改其招选文件；比选人拒绝延长的，其比选失效，但比选人有权收回其比选保证金及以现金或者支票形式递交的比选保证金的银行同期存款利息。</w:t>
      </w:r>
    </w:p>
    <w:p w14:paraId="2703CF6D">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3.4 比选保证金</w:t>
      </w:r>
    </w:p>
    <w:p w14:paraId="230740EF">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3.4.1 比选人在递交比选文件的同时，应按比选人须知前附表规定的金额、形式和第六章“招选文件格式”规定的比选保证金格式递交比选保证金，并作为其比选文件的组成部分。境内比选人以现金或者支票形式提交的比选保证金，应当从其基本账户转出并在比选文件中附上基本账户开户证明。联合体比选的，其比选保证金可以由牵头人递交，并应符合比选人须知前附表的规定。</w:t>
      </w:r>
    </w:p>
    <w:p w14:paraId="0D6E907F">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3.4.2 比选人不按本章第3.4.1项要求提交比选保证金的，招选委员会将否决其比选。</w:t>
      </w:r>
    </w:p>
    <w:p w14:paraId="2ED2C30E">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3.4.3 比选人最迟将在与中选人签订合同后5日内，向未中选的比选人和中选人退还比选保证金。比选保证金以现金或者支票形式递交的，还应退还银行同期存款利息。</w:t>
      </w:r>
    </w:p>
    <w:p w14:paraId="255A3BE8">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3.4.4 有下列情形之一的，比选保证金将不予退还：</w:t>
      </w:r>
    </w:p>
    <w:p w14:paraId="06EDF45D">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（1）比选人在招选有效期内撤销比选文件；</w:t>
      </w:r>
    </w:p>
    <w:p w14:paraId="52696E9D">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（2）中选人在收到中选通知书后，无正当理由不与招选人订立合同，在签订合同时向招选人提出附加条件，或者不按照招选文件要求提交履约保证金；</w:t>
      </w:r>
    </w:p>
    <w:p w14:paraId="117BA0DF">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（3）发生比选人须知前附表规定的其他可以不予退还比选保证金的情形。</w:t>
      </w:r>
    </w:p>
    <w:p w14:paraId="2159189C">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3.5 资格审查资料</w:t>
      </w:r>
    </w:p>
    <w:p w14:paraId="5C0B9E8B">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除比选人须知前附表另有规定外，比选人应按下列规定提供资格审查资料，以证明其满足本章第1.4款规定的资质、信誉等要求。</w:t>
      </w:r>
    </w:p>
    <w:p w14:paraId="2F37D2D5">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3.5.1“比选人基本情况表”应附比选人资格或者资质证书副本和比选材料检验或认证等材料的复印件以及：</w:t>
      </w:r>
    </w:p>
    <w:p w14:paraId="25094CD3">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（1）比选人为企业的，应提交营业执照和组织机构代码证的复印件（按照“三证合一”或“五证合一”登记制度进行登记的，可仅提供营业执照复印件）；</w:t>
      </w:r>
    </w:p>
    <w:p w14:paraId="56C8865F">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(2)比选人为依法允许经营的事业单位的，应提交事业单位法人证书和组织机构代码证的复印件。</w:t>
      </w:r>
    </w:p>
    <w:p w14:paraId="62BA6BBA">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3.5.2“业绩情况表”应附合同复印件，具体时间要求见比选人须知前附表。</w:t>
      </w:r>
    </w:p>
    <w:p w14:paraId="2FDC1266">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3.5.3“近年发生的诉讼及仲裁情况”应说明比选人败诉的设备买卖合同的相关情况，并附法院或仲裁机构作出的判决、裁决等有关法律文书复印件，具体时间要求见比选人须知前附表。</w:t>
      </w:r>
    </w:p>
    <w:p w14:paraId="17F6B949">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3.5.4 比选人须知前附表规定接受联合体比选的，本章第3.5.1项至第3.5.4项规定的表格和资料应包括联合体各方相关情况。</w:t>
      </w:r>
    </w:p>
    <w:p w14:paraId="47D62BCC">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3.6 备选比选方案</w:t>
      </w:r>
    </w:p>
    <w:p w14:paraId="6D2C7A68">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3.6.1 除比选人须知前附表规定允许外，比选人不得递交备选比选方案，否则其比选将被否决。</w:t>
      </w:r>
    </w:p>
    <w:p w14:paraId="1CCE1EF9">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3.6.2 允许比选人递交备选比选方案的，只有中选人所递交的备选比选方案方可予以考虑。招选委员会认为中选人的备选比选方案优于其按照招选文件要求编制的比选方案的，招选人可以接受该备选比选方案。</w:t>
      </w:r>
    </w:p>
    <w:p w14:paraId="31C5FF83">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3.6.3 比选人提供两个或两个以上比选报价，或者在比选文件中提供一个报价，但同时提供两个或两个以上供货方案的，视为提供备选方案。</w:t>
      </w:r>
    </w:p>
    <w:p w14:paraId="2E0970DD">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3.7 比选文件的编制</w:t>
      </w:r>
    </w:p>
    <w:p w14:paraId="65FE1119">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3.7.1 比选文件应按第六章“招选文件格式”进行编写，如有必要，可以增加附页，作为比选文件的组成部分。</w:t>
      </w:r>
    </w:p>
    <w:p w14:paraId="6C76B9C1">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3.7.2 比选文件应当对招选文件有关供货期、招选有效期、供货要求、招选范围等实质性内容作出响应。比选文件在满足招选文件实质性要求的基础上，可以提出比招选文件要求更有利于招选人的承诺。</w:t>
      </w:r>
    </w:p>
    <w:p w14:paraId="62F45507">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3.7.3（1）比选文件应用不褪色的材料书写或打印，比选函及比选文件的澄清、说明和补正应由比选人的法定代表人（单位负责人）或其授权的代理人签字或盖单位章。由比选人的法定代表人（单位负责人）签字的，应附法定代表人（单位负责人）身份证明，由代理人签字的，应附授权委托书，身份证明或授权委托书应符合第六章“招选文件格式”的要求。比选文件应尽量避免涂改、行间插字或删除。如果出现上述情况，改动之处应由比选人的法定代表人（单位负责人）或其授权的代理人签字或盖单位章。</w:t>
      </w:r>
    </w:p>
    <w:p w14:paraId="26CC8E08">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2）比选文件正本一份，副本份数见比选人须知前附表。正本和副本的封面右上角上应清楚地标记“正本”或“副本”的字样。比选人应根据比选人须知前附表要求提供电子版文件。当副本和正本不一致或电子版文件和纸质正本文件不一致时，以纸质正本文件为准。</w:t>
      </w:r>
    </w:p>
    <w:p w14:paraId="173E1E42">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（3）比选文件的正本与副本应分别装订，并编制目录，比选文件需分册装订的，具体分册装订要求见比选人须知前附表规定。</w:t>
      </w:r>
    </w:p>
    <w:p w14:paraId="7104F752">
      <w:pPr>
        <w:pStyle w:val="12"/>
        <w:kinsoku w:val="0"/>
        <w:overflowPunct w:val="0"/>
        <w:spacing w:before="0" w:line="560" w:lineRule="exact"/>
        <w:ind w:left="0" w:firstLine="560" w:firstLineChars="200"/>
        <w:rPr>
          <w:rFonts w:hint="default" w:cs="宋体"/>
          <w:color w:val="auto"/>
          <w:sz w:val="28"/>
          <w:highlight w:val="none"/>
        </w:rPr>
      </w:pPr>
    </w:p>
    <w:p w14:paraId="5BA281C3">
      <w:pPr>
        <w:pStyle w:val="12"/>
        <w:kinsoku w:val="0"/>
        <w:overflowPunct w:val="0"/>
        <w:spacing w:before="0" w:line="560" w:lineRule="exact"/>
        <w:ind w:left="0" w:firstLine="562" w:firstLineChars="200"/>
        <w:rPr>
          <w:rFonts w:hint="default" w:cs="宋体"/>
          <w:b/>
          <w:bCs/>
          <w:color w:val="auto"/>
          <w:sz w:val="28"/>
          <w:highlight w:val="none"/>
        </w:rPr>
      </w:pPr>
      <w:r>
        <w:rPr>
          <w:rFonts w:cs="宋体"/>
          <w:b/>
          <w:bCs/>
          <w:color w:val="auto"/>
          <w:sz w:val="28"/>
          <w:highlight w:val="none"/>
        </w:rPr>
        <w:t>4.比选</w:t>
      </w:r>
    </w:p>
    <w:p w14:paraId="0BC6B2FE">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4.1 比选文件的密封和标记</w:t>
      </w:r>
    </w:p>
    <w:p w14:paraId="1B6C4E58">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4.1.1 比选文件应密封包装，并在封套的封口处加盖比选人单位章或由比选人的法定代表人（单位负责人）或其授权的代理人签字。</w:t>
      </w:r>
    </w:p>
    <w:p w14:paraId="5ED5493A">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4.1.2 比选文件封套上应写明的内容见比选人须知前附表。</w:t>
      </w:r>
    </w:p>
    <w:p w14:paraId="7005425A">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4.1.3 未按本章第4.1.1项要求密封的比选文件，招选人将予以拒收。</w:t>
      </w:r>
    </w:p>
    <w:p w14:paraId="1437FB4A">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4.2 比选文件的递交</w:t>
      </w:r>
    </w:p>
    <w:p w14:paraId="6EE75F9D">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4.2.1 比选人应在比选人须知前附表规定的比选截止时间前递交比选文件。</w:t>
      </w:r>
    </w:p>
    <w:p w14:paraId="23AC4585">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4.2.2 比选人递交比选文件的地点：见比选人须知前附表。</w:t>
      </w:r>
    </w:p>
    <w:p w14:paraId="4DD86A84">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4.2.3 除比选人须知前附表另有规定外，比选人所递交的比选文件不予退还。</w:t>
      </w:r>
    </w:p>
    <w:p w14:paraId="6EE77E9E">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4.2.4 招选人收到比选文件后，向比选人出具签收凭证。</w:t>
      </w:r>
    </w:p>
    <w:p w14:paraId="0D8A8429">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4.2.5 逾期送达的比选文件，招选人将予以拒收。</w:t>
      </w:r>
    </w:p>
    <w:p w14:paraId="0664F03B">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4.3 比选文件的修改与撤回</w:t>
      </w:r>
    </w:p>
    <w:p w14:paraId="6EC9222E">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4.3.1 在本章第4.2.1项规定的比选截止时间前，比选人可以修改或撤回已递交的比选文件，但应以书面形式通知招选人。</w:t>
      </w:r>
    </w:p>
    <w:p w14:paraId="18B5BBB5">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4.3.2 比选人修改或撤回已递交比选文件的书面通知应按照本章第3.7.3项的要求签字或盖章。招选人收到书面通知后，向比选人出具签收凭证。</w:t>
      </w:r>
    </w:p>
    <w:p w14:paraId="3D6FC36D">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4.3.3 比选人撤回比选文件的，招选人自收到比选人书面撤回通知之日起5日内退还已收取的比选保证金。</w:t>
      </w:r>
    </w:p>
    <w:p w14:paraId="4737891A">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4.3.4 修改的内容为比选文件的组成部分。修改的比选文件应按照本章第3条、第4条的规定进行编制、密封、标记和递交，并标明“修改”字样。</w:t>
      </w:r>
    </w:p>
    <w:p w14:paraId="417601E3">
      <w:pPr>
        <w:pStyle w:val="12"/>
        <w:kinsoku w:val="0"/>
        <w:overflowPunct w:val="0"/>
        <w:spacing w:before="0" w:line="560" w:lineRule="exact"/>
        <w:ind w:left="0" w:firstLine="562" w:firstLineChars="200"/>
        <w:rPr>
          <w:rFonts w:hint="default" w:cs="宋体"/>
          <w:b/>
          <w:bCs/>
          <w:color w:val="auto"/>
          <w:sz w:val="28"/>
          <w:highlight w:val="none"/>
        </w:rPr>
      </w:pPr>
      <w:r>
        <w:rPr>
          <w:rFonts w:cs="宋体"/>
          <w:b/>
          <w:bCs/>
          <w:color w:val="auto"/>
          <w:sz w:val="28"/>
          <w:highlight w:val="none"/>
        </w:rPr>
        <w:t>5.开标</w:t>
      </w:r>
    </w:p>
    <w:p w14:paraId="32C8DBFB">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5.1 开标时间和地点</w:t>
      </w:r>
    </w:p>
    <w:p w14:paraId="4EDEC4FF">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招选人在规定的比选截止时间（开标时间）和比选人须知前附表规定的地点公开开标，并邀请所有比选人的法定代表人（单位负责人）或其委托代理人准时参加。</w:t>
      </w:r>
    </w:p>
    <w:p w14:paraId="1E284BE2">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比选人若未派法定代表人或委托代理人出席开标活动，视为该比选人默认开标结果。</w:t>
      </w:r>
    </w:p>
    <w:p w14:paraId="01CD476C">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5.2 开标程序</w:t>
      </w:r>
    </w:p>
    <w:p w14:paraId="3D95DAD5">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主持人按下列程序进行开标：</w:t>
      </w:r>
    </w:p>
    <w:p w14:paraId="475684E8">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5.2.1 宣布开标纪律；</w:t>
      </w:r>
    </w:p>
    <w:p w14:paraId="56C801BF">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5.2.2 公布在比选截止时间前递交比选文件的比选人名称；</w:t>
      </w:r>
    </w:p>
    <w:p w14:paraId="69DEAB1E">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5.2.3 宣布开标人、唱标人、记录人、监标人等有关人员姓名；</w:t>
      </w:r>
    </w:p>
    <w:p w14:paraId="0546C9E9">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5.2.4检查比选文件的密封情况，按照比选人须知前附表规定的开标顺序当众开标，公布招选项目名称、比选人名称、比选保证金的递交情况、比选报价、交货期、交货地点及其他内容，并记录在案；</w:t>
      </w:r>
    </w:p>
    <w:p w14:paraId="236015F0">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5.2.5 比选人代表、比选人代表、监标人、记录人等有关人员在开标记录上签字确认；</w:t>
      </w:r>
    </w:p>
    <w:p w14:paraId="2110D675">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5.2.6 开标结束。</w:t>
      </w:r>
    </w:p>
    <w:p w14:paraId="1FBCD860">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5.3 开标异议</w:t>
      </w:r>
    </w:p>
    <w:p w14:paraId="3E972855">
      <w:pPr>
        <w:pStyle w:val="12"/>
        <w:kinsoku w:val="0"/>
        <w:overflowPunct w:val="0"/>
        <w:spacing w:before="0" w:line="560" w:lineRule="exact"/>
        <w:ind w:left="0" w:firstLine="420" w:firstLineChars="200"/>
        <w:rPr>
          <w:rFonts w:hint="default" w:cs="宋体"/>
          <w:color w:val="auto"/>
          <w:sz w:val="18"/>
          <w:highlight w:val="none"/>
        </w:rPr>
      </w:pPr>
      <w:r>
        <w:rPr>
          <w:rFonts w:cs="宋体"/>
          <w:color w:val="auto"/>
          <w:szCs w:val="22"/>
          <w:highlight w:val="none"/>
        </w:rPr>
        <w:t>比选人对开标有异议的，应当在开标现场提出，招选人当场作出答复，并制作记录。</w:t>
      </w:r>
    </w:p>
    <w:p w14:paraId="42FE04F1">
      <w:pPr>
        <w:pStyle w:val="12"/>
        <w:kinsoku w:val="0"/>
        <w:overflowPunct w:val="0"/>
        <w:spacing w:before="0" w:line="560" w:lineRule="exact"/>
        <w:ind w:left="0" w:firstLine="562" w:firstLineChars="200"/>
        <w:rPr>
          <w:rFonts w:hint="default" w:cs="宋体"/>
          <w:b/>
          <w:bCs/>
          <w:color w:val="auto"/>
          <w:sz w:val="28"/>
          <w:highlight w:val="none"/>
        </w:rPr>
      </w:pPr>
      <w:r>
        <w:rPr>
          <w:rFonts w:cs="宋体"/>
          <w:b/>
          <w:bCs/>
          <w:color w:val="auto"/>
          <w:sz w:val="28"/>
          <w:highlight w:val="none"/>
        </w:rPr>
        <w:t>6.招选</w:t>
      </w:r>
    </w:p>
    <w:p w14:paraId="23809EF6">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6.1 招选委员会</w:t>
      </w:r>
    </w:p>
    <w:p w14:paraId="172CCE44">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6.1.1 招选由招选人依法组建的招选委员会负责。</w:t>
      </w:r>
    </w:p>
    <w:p w14:paraId="3D21EBE8">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6.1.2 招选委员会成员有下列情形之一的，应当回避：</w:t>
      </w:r>
    </w:p>
    <w:p w14:paraId="4F2608E0">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（1）比选人或比选人主要负责人的近亲属；</w:t>
      </w:r>
    </w:p>
    <w:p w14:paraId="301DECA6">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（2）项目主管部门或者行政监督部门的人员；</w:t>
      </w:r>
    </w:p>
    <w:p w14:paraId="09E53F00">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（3）与比选人有经济利益关系，可能影响对比选公正评审的；</w:t>
      </w:r>
    </w:p>
    <w:p w14:paraId="72D6EC08">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（4）曾因在比选、招选以及其他与比选有关活动中从事违法行为而受过行政处罚或刑事处罚的；</w:t>
      </w:r>
    </w:p>
    <w:p w14:paraId="7D59D1BB">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（5）与比选人有其他利害关系。</w:t>
      </w:r>
    </w:p>
    <w:p w14:paraId="622ABE1F">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6.1.3 招选过程中，招选委员会成员有回避事由、擅离职守或者因健康等原因不能继续招选的，招选人有权更换。被更换的招选委员会成员作出的评审结论无效，由更换后的招选委员会成员重新进行评审。</w:t>
      </w:r>
    </w:p>
    <w:p w14:paraId="56970A3A">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6.2 招选原则</w:t>
      </w:r>
    </w:p>
    <w:p w14:paraId="01609192">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招选活动遵循公平、公正、科学和择优的原则。</w:t>
      </w:r>
    </w:p>
    <w:p w14:paraId="77DDBFC7">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6.3 招选</w:t>
      </w:r>
    </w:p>
    <w:p w14:paraId="1B686354">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6.3.1招选委员会按照第三章“招选办法”规定的方法、评审因素、标准和程序对比选文件进行评审。第三章“招选办法”没有规定的方法、评审因素和标准，不作为招选依据。</w:t>
      </w:r>
    </w:p>
    <w:p w14:paraId="40DBD8A3">
      <w:pPr>
        <w:pStyle w:val="12"/>
        <w:kinsoku w:val="0"/>
        <w:overflowPunct w:val="0"/>
        <w:spacing w:before="0" w:line="560" w:lineRule="exact"/>
        <w:ind w:left="0" w:firstLine="420" w:firstLineChars="200"/>
        <w:rPr>
          <w:rFonts w:hint="default" w:cs="宋体"/>
          <w:color w:val="auto"/>
          <w:sz w:val="18"/>
          <w:highlight w:val="none"/>
        </w:rPr>
      </w:pPr>
      <w:r>
        <w:rPr>
          <w:rFonts w:cs="宋体"/>
          <w:color w:val="auto"/>
          <w:szCs w:val="22"/>
          <w:highlight w:val="none"/>
        </w:rPr>
        <w:t>6.3.2招选完成后，招选委员会应当向招选人提交书面招选报告和中选候选人名单。招选委员会推荐中选候选人的人数见比选人须知前附表。</w:t>
      </w:r>
    </w:p>
    <w:p w14:paraId="61787403">
      <w:pPr>
        <w:pStyle w:val="12"/>
        <w:kinsoku w:val="0"/>
        <w:overflowPunct w:val="0"/>
        <w:spacing w:before="0" w:line="560" w:lineRule="exact"/>
        <w:ind w:left="0" w:firstLine="562" w:firstLineChars="200"/>
        <w:rPr>
          <w:rFonts w:hint="default" w:cs="宋体"/>
          <w:b/>
          <w:bCs/>
          <w:color w:val="auto"/>
          <w:sz w:val="28"/>
          <w:highlight w:val="none"/>
        </w:rPr>
      </w:pPr>
      <w:r>
        <w:rPr>
          <w:rFonts w:cs="宋体"/>
          <w:b/>
          <w:bCs/>
          <w:color w:val="auto"/>
          <w:sz w:val="28"/>
          <w:highlight w:val="none"/>
        </w:rPr>
        <w:t>7.合同授予</w:t>
      </w:r>
    </w:p>
    <w:p w14:paraId="7876B478">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7.1 中选候选人公示</w:t>
      </w:r>
    </w:p>
    <w:p w14:paraId="00F989CC">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招选人在收到招选报告之日起3日内，按照比选人须知前附表规定的公示媒介和期限公示中选候选人，公示期不得少于3天。</w:t>
      </w:r>
    </w:p>
    <w:p w14:paraId="5C2098CF">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7.2 招选结果异议</w:t>
      </w:r>
    </w:p>
    <w:p w14:paraId="44204076">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比选人或者其他利害关系人对招选结果有异议的，应当在中选候选人公示期间提出。招选人将在收到异议之日起3日内作出答复；作出答复前，将暂停比选比选活动。</w:t>
      </w:r>
    </w:p>
    <w:p w14:paraId="756D7E53">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7.3 中选候选人履约能力审查</w:t>
      </w:r>
    </w:p>
    <w:p w14:paraId="755C5363">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中选候选人的经营、财务状况发生较大变化或存在违法行为，招选人认为可能影响其履约能力的，将在发出中标通知书前提请原招选委员会按照招选文件规定的标准和方法进行审查确认。</w:t>
      </w:r>
    </w:p>
    <w:p w14:paraId="0D020658">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7.4 定标</w:t>
      </w:r>
    </w:p>
    <w:p w14:paraId="7AA720D5">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按照比选人须知前附表的规定，招选人或招选人授权的招选委员会依法确定中选人。</w:t>
      </w:r>
    </w:p>
    <w:p w14:paraId="22CD497B">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7.5 中标通知</w:t>
      </w:r>
    </w:p>
    <w:p w14:paraId="1828205D">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在本章第3.3款规定的比选有效期内，招选人以书面形式向中选人发出中标通知书，招选人不再发布中标结果公告，中标结果以中标通知书和中标结果通知书的内容为准。</w:t>
      </w:r>
    </w:p>
    <w:p w14:paraId="61E5DE63">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7.6 履约保证金</w:t>
      </w:r>
    </w:p>
    <w:p w14:paraId="38422FD4">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7.6.1如需要缴纳履约保证金的，在签订合同前，中选人应按比选人须知前附表规定的形式、金额和招选文件第四章“合同附件格式”规定的或者事先经过招选人书面认可的履约保证金格式向比选人提交履约保证金。除比选人须知前附表另有规定外，履约保证金为中选合同金额的3%。</w:t>
      </w:r>
    </w:p>
    <w:p w14:paraId="0BFC43FD">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7.6.2 中选人不能按本章第7.6.1项要求提交履约保证金的，视为放弃中标，其比选保证金不予退还，给招选人造成的损失超过比选保证金数额的，中选人还应当对超过部分予以赔偿。</w:t>
      </w:r>
    </w:p>
    <w:p w14:paraId="6F2AD914">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7.7 签订合同</w:t>
      </w:r>
    </w:p>
    <w:p w14:paraId="3A21AB2E">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7.7.1 比选人和中选人应当在中标通知书发出之日起</w:t>
      </w:r>
      <w:r>
        <w:rPr>
          <w:rFonts w:hint="eastAsia" w:cs="宋体"/>
          <w:color w:val="auto"/>
          <w:szCs w:val="22"/>
          <w:highlight w:val="none"/>
          <w:lang w:val="en-US" w:eastAsia="zh-CN"/>
        </w:rPr>
        <w:t>30</w:t>
      </w:r>
      <w:r>
        <w:rPr>
          <w:rFonts w:cs="宋体"/>
          <w:color w:val="auto"/>
          <w:szCs w:val="22"/>
          <w:highlight w:val="none"/>
        </w:rPr>
        <w:t>日内，根据招选文件和中选人的比选文件订立书面合同。中选人无正当理由拒签合同，在签订合同时向招选人提出附加条件，或者不按照招选文件要求提交履约保证金的，招选人有权取消其中标资格，其比选保证金不予退还；给招选人造成的损失超过比选保证金数额的，中选人还应当对超过部分予以赔偿。</w:t>
      </w:r>
    </w:p>
    <w:p w14:paraId="51293AA3">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7.7.2 发出中标通知书后，招选人无正当理由拒签合同，或者在签订合同时向中选人提出附加条件的，招选人向中选人退还比选保证金；给中选人造成损失的，还应当赔偿损失。</w:t>
      </w:r>
    </w:p>
    <w:p w14:paraId="71B6DEEB">
      <w:pPr>
        <w:pStyle w:val="12"/>
        <w:kinsoku w:val="0"/>
        <w:overflowPunct w:val="0"/>
        <w:spacing w:before="0" w:line="560" w:lineRule="exact"/>
        <w:ind w:left="0" w:firstLine="420" w:firstLineChars="200"/>
        <w:rPr>
          <w:rFonts w:hint="default" w:cs="宋体"/>
          <w:color w:val="auto"/>
          <w:sz w:val="18"/>
          <w:highlight w:val="none"/>
        </w:rPr>
      </w:pPr>
      <w:r>
        <w:rPr>
          <w:rFonts w:cs="宋体"/>
          <w:color w:val="auto"/>
          <w:szCs w:val="22"/>
          <w:highlight w:val="none"/>
        </w:rPr>
        <w:t>7.7.3 联合体中选的，联合体各方应当共同与比选人签订合同，就中选项目向比选人承担连带责任。</w:t>
      </w:r>
    </w:p>
    <w:p w14:paraId="1409DC98">
      <w:pPr>
        <w:pStyle w:val="12"/>
        <w:kinsoku w:val="0"/>
        <w:overflowPunct w:val="0"/>
        <w:spacing w:before="0" w:line="560" w:lineRule="exact"/>
        <w:ind w:left="0" w:firstLine="562" w:firstLineChars="200"/>
        <w:rPr>
          <w:rFonts w:hint="default" w:cs="宋体"/>
          <w:b/>
          <w:bCs/>
          <w:color w:val="auto"/>
          <w:sz w:val="28"/>
          <w:highlight w:val="none"/>
        </w:rPr>
      </w:pPr>
      <w:r>
        <w:rPr>
          <w:rFonts w:cs="宋体"/>
          <w:b/>
          <w:bCs/>
          <w:color w:val="auto"/>
          <w:sz w:val="28"/>
          <w:highlight w:val="none"/>
        </w:rPr>
        <w:t>8.纪律和监督</w:t>
      </w:r>
    </w:p>
    <w:p w14:paraId="194DEB35">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8.1 对招选人的纪律要求</w:t>
      </w:r>
    </w:p>
    <w:p w14:paraId="298FB986">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招选人不得泄露比选比选活动中应当保密的情况和资料，不得与比选人串通损害国家利益、社会公共利益或者他人合法权益。</w:t>
      </w:r>
    </w:p>
    <w:p w14:paraId="5495D2B4">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8.2 对比选人的纪律要求</w:t>
      </w:r>
    </w:p>
    <w:p w14:paraId="45AD781C">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比选人不得相互串通比选或者与招选人串通比选，不得向招选人或者招选委员会成员行贿谋取中选，不得以他人名义比选或者以其他方式弄虚作假骗取中选；比选人不得以任何方式干扰、影响招选工作。</w:t>
      </w:r>
    </w:p>
    <w:p w14:paraId="29446FA1">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8.3 对招选委员会成员的纪律要求</w:t>
      </w:r>
    </w:p>
    <w:p w14:paraId="79B6DA08">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招选委员会成员不得收受他人的财物或者其他好处，不得向他人透露对比选文件的评审和比较、中选候选人的推荐情况以及招选有关的其他情况。在招选活动中，招选委员会成员应当客观、公正地履行职责，遵守职业道德，不得擅离职守，影响招选程序正常进行，不得使用第三章“招选办法”没有规定的评审因素和标准进行招选。</w:t>
      </w:r>
    </w:p>
    <w:p w14:paraId="5160686E">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8.4 对与招选活动有关的工作人员的纪律要求</w:t>
      </w:r>
    </w:p>
    <w:p w14:paraId="5A3EC33D">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与招选活动有关的工作人员不得收受他人的财物或者其他好处，不得向他人透露对比选文件的评审和比较、中选候选人的推荐情况以及招选有关的其他情况。在招选活动中，与招选活动有关的工作人员不得擅离职守，影响招选程序正常进行。</w:t>
      </w:r>
    </w:p>
    <w:p w14:paraId="7263683A">
      <w:pPr>
        <w:pStyle w:val="12"/>
        <w:kinsoku w:val="0"/>
        <w:overflowPunct w:val="0"/>
        <w:spacing w:before="0" w:line="560" w:lineRule="exact"/>
        <w:ind w:left="0" w:firstLine="482" w:firstLineChars="200"/>
        <w:rPr>
          <w:rFonts w:hint="default" w:cs="宋体"/>
          <w:b/>
          <w:bCs/>
          <w:color w:val="auto"/>
          <w:sz w:val="24"/>
          <w:highlight w:val="none"/>
        </w:rPr>
      </w:pPr>
      <w:r>
        <w:rPr>
          <w:rFonts w:cs="宋体"/>
          <w:b/>
          <w:bCs/>
          <w:color w:val="auto"/>
          <w:sz w:val="24"/>
          <w:highlight w:val="none"/>
        </w:rPr>
        <w:t>8.5 投诉</w:t>
      </w:r>
    </w:p>
    <w:p w14:paraId="64912E97">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8.5.1 比选人或者其他利害关系人认为比选活动不符合法律、行政法规规定的，可以自知道或者应当知道之日起10日内向有关行政监督部门投诉。投诉应当有明确的请求和必要的证明材料。</w:t>
      </w:r>
    </w:p>
    <w:p w14:paraId="09FBBE4F">
      <w:pPr>
        <w:pStyle w:val="12"/>
        <w:kinsoku w:val="0"/>
        <w:overflowPunct w:val="0"/>
        <w:spacing w:before="0" w:line="560" w:lineRule="exact"/>
        <w:ind w:left="0" w:firstLine="420" w:firstLineChars="200"/>
        <w:rPr>
          <w:rFonts w:hint="default" w:cs="宋体"/>
          <w:color w:val="auto"/>
          <w:sz w:val="18"/>
          <w:highlight w:val="none"/>
        </w:rPr>
      </w:pPr>
      <w:r>
        <w:rPr>
          <w:rFonts w:cs="宋体"/>
          <w:color w:val="auto"/>
          <w:szCs w:val="22"/>
          <w:highlight w:val="none"/>
        </w:rPr>
        <w:t>8.5.2 比选人或者其他利害关系人对招选文件、开标和招选结果提出投诉的，应当按照比选人须知第2.4款、第5.3款和第7.2款的规定先向比选人提出异议。异议答复期间不计算在第8.5.1项规定的期限内。</w:t>
      </w:r>
    </w:p>
    <w:p w14:paraId="15476E8A">
      <w:pPr>
        <w:pStyle w:val="12"/>
        <w:kinsoku w:val="0"/>
        <w:overflowPunct w:val="0"/>
        <w:spacing w:before="0" w:line="560" w:lineRule="exact"/>
        <w:ind w:left="0" w:firstLine="562" w:firstLineChars="200"/>
        <w:rPr>
          <w:rFonts w:hint="default" w:cs="宋体"/>
          <w:b/>
          <w:bCs/>
          <w:color w:val="auto"/>
          <w:sz w:val="28"/>
          <w:highlight w:val="none"/>
        </w:rPr>
      </w:pPr>
      <w:r>
        <w:rPr>
          <w:rFonts w:cs="宋体"/>
          <w:b/>
          <w:bCs/>
          <w:color w:val="auto"/>
          <w:sz w:val="28"/>
          <w:highlight w:val="none"/>
        </w:rPr>
        <w:t>9.是否采用电子比选</w:t>
      </w:r>
    </w:p>
    <w:p w14:paraId="36E6FD42">
      <w:pPr>
        <w:pStyle w:val="12"/>
        <w:kinsoku w:val="0"/>
        <w:overflowPunct w:val="0"/>
        <w:spacing w:before="0" w:line="560" w:lineRule="exact"/>
        <w:ind w:left="0" w:firstLine="420" w:firstLineChars="200"/>
        <w:rPr>
          <w:rFonts w:hint="default" w:cs="宋体"/>
          <w:color w:val="auto"/>
          <w:sz w:val="18"/>
          <w:highlight w:val="none"/>
        </w:rPr>
      </w:pPr>
      <w:r>
        <w:rPr>
          <w:rFonts w:cs="宋体"/>
          <w:color w:val="auto"/>
          <w:szCs w:val="22"/>
          <w:highlight w:val="none"/>
        </w:rPr>
        <w:t>本招选项目是否采用电子比选方式，见比选人须知前附表。</w:t>
      </w:r>
    </w:p>
    <w:p w14:paraId="45F3B757">
      <w:pPr>
        <w:pStyle w:val="12"/>
        <w:kinsoku w:val="0"/>
        <w:overflowPunct w:val="0"/>
        <w:spacing w:before="0" w:line="560" w:lineRule="exact"/>
        <w:ind w:left="0" w:firstLine="562" w:firstLineChars="200"/>
        <w:rPr>
          <w:rFonts w:hint="default" w:cs="宋体"/>
          <w:b/>
          <w:bCs/>
          <w:color w:val="auto"/>
          <w:sz w:val="28"/>
          <w:highlight w:val="none"/>
        </w:rPr>
      </w:pPr>
      <w:r>
        <w:rPr>
          <w:rFonts w:cs="宋体"/>
          <w:b/>
          <w:bCs/>
          <w:color w:val="auto"/>
          <w:sz w:val="28"/>
          <w:highlight w:val="none"/>
        </w:rPr>
        <w:t>10.需要补充的其他内容</w:t>
      </w:r>
    </w:p>
    <w:p w14:paraId="64E8E5D7">
      <w:pPr>
        <w:pStyle w:val="12"/>
        <w:kinsoku w:val="0"/>
        <w:overflowPunct w:val="0"/>
        <w:spacing w:before="0" w:line="560" w:lineRule="exact"/>
        <w:ind w:left="0" w:firstLine="420" w:firstLineChars="200"/>
        <w:rPr>
          <w:rFonts w:hint="default" w:cs="宋体"/>
          <w:color w:val="auto"/>
          <w:szCs w:val="22"/>
          <w:highlight w:val="none"/>
        </w:rPr>
      </w:pPr>
      <w:r>
        <w:rPr>
          <w:rFonts w:cs="宋体"/>
          <w:color w:val="auto"/>
          <w:szCs w:val="22"/>
          <w:highlight w:val="none"/>
        </w:rPr>
        <w:t>需要补充的其他内容：见比选人须知前附表。</w:t>
      </w:r>
    </w:p>
    <w:p w14:paraId="7A5492D1">
      <w:pPr>
        <w:pStyle w:val="12"/>
        <w:kinsoku w:val="0"/>
        <w:overflowPunct w:val="0"/>
        <w:spacing w:before="0" w:line="560" w:lineRule="exact"/>
        <w:ind w:left="0" w:firstLine="420" w:firstLineChars="200"/>
        <w:rPr>
          <w:rFonts w:hint="default" w:cs="宋体"/>
          <w:color w:val="auto"/>
          <w:highlight w:val="none"/>
        </w:rPr>
        <w:sectPr>
          <w:headerReference r:id="rId11" w:type="default"/>
          <w:footerReference r:id="rId12" w:type="default"/>
          <w:pgSz w:w="11900" w:h="16840"/>
          <w:pgMar w:top="1440" w:right="1080" w:bottom="1440" w:left="1080" w:header="881" w:footer="894" w:gutter="0"/>
          <w:cols w:space="720" w:num="1"/>
        </w:sectPr>
      </w:pPr>
    </w:p>
    <w:p w14:paraId="06307343">
      <w:pPr>
        <w:pStyle w:val="12"/>
        <w:kinsoku w:val="0"/>
        <w:overflowPunct w:val="0"/>
        <w:spacing w:before="0" w:line="360" w:lineRule="auto"/>
        <w:ind w:left="153"/>
        <w:rPr>
          <w:rFonts w:hint="default" w:cs="宋体"/>
          <w:color w:val="auto"/>
          <w:sz w:val="24"/>
          <w:szCs w:val="24"/>
          <w:highlight w:val="none"/>
        </w:rPr>
      </w:pPr>
      <w:r>
        <w:rPr>
          <w:rFonts w:cs="宋体"/>
          <w:b/>
          <w:color w:val="auto"/>
          <w:sz w:val="24"/>
          <w:szCs w:val="24"/>
          <w:highlight w:val="none"/>
        </w:rPr>
        <w:t xml:space="preserve">附件 </w:t>
      </w:r>
      <w:r>
        <w:rPr>
          <w:rFonts w:cs="宋体"/>
          <w:color w:val="auto"/>
          <w:sz w:val="24"/>
          <w:szCs w:val="24"/>
          <w:highlight w:val="none"/>
        </w:rPr>
        <w:t>1</w:t>
      </w:r>
    </w:p>
    <w:p w14:paraId="5532178E">
      <w:pPr>
        <w:pStyle w:val="12"/>
        <w:kinsoku w:val="0"/>
        <w:overflowPunct w:val="0"/>
        <w:spacing w:before="0" w:line="360" w:lineRule="auto"/>
        <w:ind w:left="0"/>
        <w:rPr>
          <w:rFonts w:hint="default" w:cs="宋体"/>
          <w:color w:val="auto"/>
          <w:sz w:val="18"/>
          <w:highlight w:val="none"/>
        </w:rPr>
      </w:pPr>
    </w:p>
    <w:p w14:paraId="016F13D7">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u w:val="single"/>
        </w:rPr>
        <w:t>（招选项目及标段名称）</w:t>
      </w:r>
      <w:r>
        <w:rPr>
          <w:rFonts w:hint="eastAsia" w:ascii="宋体" w:hAnsi="宋体" w:cs="宋体"/>
          <w:b/>
          <w:bCs/>
          <w:color w:val="auto"/>
          <w:sz w:val="28"/>
          <w:szCs w:val="28"/>
          <w:highlight w:val="none"/>
        </w:rPr>
        <w:t>异议书</w:t>
      </w:r>
    </w:p>
    <w:p w14:paraId="71263C19">
      <w:pPr>
        <w:pStyle w:val="12"/>
        <w:kinsoku w:val="0"/>
        <w:overflowPunct w:val="0"/>
        <w:spacing w:before="0" w:line="360" w:lineRule="auto"/>
        <w:ind w:left="0"/>
        <w:rPr>
          <w:rFonts w:hint="default" w:cs="宋体"/>
          <w:b/>
          <w:color w:val="auto"/>
          <w:sz w:val="20"/>
          <w:highlight w:val="none"/>
        </w:rPr>
      </w:pPr>
    </w:p>
    <w:p w14:paraId="0C645112">
      <w:pPr>
        <w:pStyle w:val="12"/>
        <w:kinsoku w:val="0"/>
        <w:overflowPunct w:val="0"/>
        <w:spacing w:before="5" w:line="360" w:lineRule="auto"/>
        <w:ind w:left="0"/>
        <w:rPr>
          <w:rFonts w:hint="default" w:cs="宋体"/>
          <w:b/>
          <w:color w:val="auto"/>
          <w:sz w:val="28"/>
          <w:highlight w:val="none"/>
        </w:rPr>
      </w:pPr>
    </w:p>
    <w:p w14:paraId="017A654B">
      <w:pPr>
        <w:pStyle w:val="12"/>
        <w:kinsoku w:val="0"/>
        <w:overflowPunct w:val="0"/>
        <w:spacing w:before="36" w:line="360" w:lineRule="auto"/>
        <w:ind w:left="153" w:right="835"/>
        <w:rPr>
          <w:rFonts w:hint="default" w:cs="宋体"/>
          <w:color w:val="auto"/>
          <w:highlight w:val="none"/>
          <w:u w:val="single"/>
        </w:rPr>
      </w:pPr>
      <w:r>
        <w:rPr>
          <w:rFonts w:cs="宋体"/>
          <w:color w:val="auto"/>
          <w:highlight w:val="none"/>
        </w:rPr>
        <w:t>异议人：</w:t>
      </w:r>
      <w:r>
        <w:rPr>
          <w:rFonts w:cs="宋体"/>
          <w:color w:val="auto"/>
          <w:highlight w:val="none"/>
          <w:u w:val="single"/>
        </w:rPr>
        <w:t xml:space="preserve">                                                                        </w:t>
      </w:r>
    </w:p>
    <w:p w14:paraId="5CDF48CB">
      <w:pPr>
        <w:pStyle w:val="12"/>
        <w:kinsoku w:val="0"/>
        <w:overflowPunct w:val="0"/>
        <w:spacing w:before="36" w:line="360" w:lineRule="auto"/>
        <w:ind w:left="153" w:right="835"/>
        <w:rPr>
          <w:rFonts w:hint="default" w:cs="宋体"/>
          <w:color w:val="auto"/>
          <w:highlight w:val="none"/>
          <w:u w:val="single"/>
        </w:rPr>
      </w:pPr>
      <w:r>
        <w:rPr>
          <w:rFonts w:cs="宋体"/>
          <w:color w:val="auto"/>
          <w:highlight w:val="none"/>
        </w:rPr>
        <w:t>住所地：</w:t>
      </w:r>
      <w:r>
        <w:rPr>
          <w:rFonts w:cs="宋体"/>
          <w:color w:val="auto"/>
          <w:highlight w:val="none"/>
          <w:u w:val="single"/>
        </w:rPr>
        <w:t xml:space="preserve">                                                                        </w:t>
      </w:r>
    </w:p>
    <w:p w14:paraId="5C9EB8B6">
      <w:pPr>
        <w:pStyle w:val="12"/>
        <w:kinsoku w:val="0"/>
        <w:overflowPunct w:val="0"/>
        <w:spacing w:before="36" w:line="360" w:lineRule="auto"/>
        <w:ind w:left="153" w:right="835"/>
        <w:rPr>
          <w:rFonts w:hint="default" w:cs="宋体"/>
          <w:color w:val="auto"/>
          <w:highlight w:val="none"/>
        </w:rPr>
      </w:pPr>
      <w:r>
        <w:rPr>
          <w:rFonts w:cs="宋体"/>
          <w:color w:val="auto"/>
          <w:highlight w:val="none"/>
        </w:rPr>
        <w:t>邮编：</w:t>
      </w:r>
      <w:r>
        <w:rPr>
          <w:rFonts w:cs="宋体"/>
          <w:color w:val="auto"/>
          <w:highlight w:val="none"/>
          <w:u w:val="single"/>
        </w:rPr>
        <w:t xml:space="preserve">                                                                          </w:t>
      </w:r>
    </w:p>
    <w:p w14:paraId="399B08E4">
      <w:pPr>
        <w:pStyle w:val="12"/>
        <w:kinsoku w:val="0"/>
        <w:overflowPunct w:val="0"/>
        <w:spacing w:before="36" w:line="360" w:lineRule="auto"/>
        <w:ind w:left="153" w:right="835"/>
        <w:rPr>
          <w:rFonts w:hint="default" w:cs="宋体"/>
          <w:color w:val="auto"/>
          <w:highlight w:val="none"/>
        </w:rPr>
      </w:pPr>
      <w:r>
        <w:rPr>
          <w:rFonts w:cs="宋体"/>
          <w:color w:val="auto"/>
          <w:highlight w:val="none"/>
        </w:rPr>
        <w:t>法定代表人：</w:t>
      </w:r>
      <w:r>
        <w:rPr>
          <w:rFonts w:cs="宋体"/>
          <w:color w:val="auto"/>
          <w:highlight w:val="none"/>
          <w:u w:val="single"/>
        </w:rPr>
        <w:t xml:space="preserve">                                                                    </w:t>
      </w:r>
    </w:p>
    <w:p w14:paraId="6760BFA5">
      <w:pPr>
        <w:pStyle w:val="12"/>
        <w:kinsoku w:val="0"/>
        <w:overflowPunct w:val="0"/>
        <w:spacing w:before="36" w:line="360" w:lineRule="auto"/>
        <w:ind w:left="153" w:right="835"/>
        <w:rPr>
          <w:rFonts w:hint="default" w:cs="宋体"/>
          <w:color w:val="auto"/>
          <w:highlight w:val="none"/>
          <w:u w:val="single"/>
        </w:rPr>
      </w:pPr>
      <w:r>
        <w:rPr>
          <w:rFonts w:cs="宋体"/>
          <w:color w:val="auto"/>
          <w:highlight w:val="none"/>
        </w:rPr>
        <w:t>联系电话：</w:t>
      </w:r>
      <w:r>
        <w:rPr>
          <w:rFonts w:cs="宋体"/>
          <w:color w:val="auto"/>
          <w:highlight w:val="none"/>
          <w:u w:val="single"/>
        </w:rPr>
        <w:t xml:space="preserve">                                                                      </w:t>
      </w:r>
    </w:p>
    <w:p w14:paraId="2B8D0138">
      <w:pPr>
        <w:pStyle w:val="12"/>
        <w:kinsoku w:val="0"/>
        <w:overflowPunct w:val="0"/>
        <w:spacing w:before="36" w:line="360" w:lineRule="auto"/>
        <w:ind w:left="153" w:right="835"/>
        <w:rPr>
          <w:rFonts w:hint="default" w:cs="宋体"/>
          <w:color w:val="auto"/>
          <w:highlight w:val="none"/>
        </w:rPr>
      </w:pPr>
      <w:r>
        <w:rPr>
          <w:rFonts w:cs="宋体"/>
          <w:color w:val="auto"/>
          <w:highlight w:val="none"/>
        </w:rPr>
        <w:t>异议人授权代表：</w:t>
      </w:r>
      <w:r>
        <w:rPr>
          <w:rFonts w:cs="宋体"/>
          <w:color w:val="auto"/>
          <w:highlight w:val="none"/>
          <w:u w:val="single"/>
        </w:rPr>
        <w:t xml:space="preserve">                                                                </w:t>
      </w:r>
      <w:r>
        <w:rPr>
          <w:rFonts w:cs="宋体"/>
          <w:color w:val="auto"/>
          <w:highlight w:val="none"/>
        </w:rPr>
        <w:t xml:space="preserve"> </w:t>
      </w:r>
    </w:p>
    <w:p w14:paraId="0345D208">
      <w:pPr>
        <w:pStyle w:val="12"/>
        <w:kinsoku w:val="0"/>
        <w:overflowPunct w:val="0"/>
        <w:spacing w:before="36" w:line="360" w:lineRule="auto"/>
        <w:ind w:left="153" w:right="835"/>
        <w:rPr>
          <w:rFonts w:hint="default" w:cs="宋体"/>
          <w:color w:val="auto"/>
          <w:highlight w:val="none"/>
          <w:u w:val="single"/>
        </w:rPr>
      </w:pPr>
      <w:r>
        <w:rPr>
          <w:rFonts w:cs="宋体"/>
          <w:color w:val="auto"/>
          <w:highlight w:val="none"/>
        </w:rPr>
        <w:t>性别：</w:t>
      </w:r>
      <w:r>
        <w:rPr>
          <w:rFonts w:cs="宋体"/>
          <w:color w:val="auto"/>
          <w:highlight w:val="none"/>
          <w:u w:val="single"/>
        </w:rPr>
        <w:t xml:space="preserve">        </w:t>
      </w:r>
      <w:r>
        <w:rPr>
          <w:rFonts w:cs="宋体"/>
          <w:color w:val="auto"/>
          <w:highlight w:val="none"/>
        </w:rPr>
        <w:t>年龄：</w:t>
      </w:r>
      <w:r>
        <w:rPr>
          <w:rFonts w:cs="宋体"/>
          <w:color w:val="auto"/>
          <w:highlight w:val="none"/>
          <w:u w:val="single"/>
        </w:rPr>
        <w:t xml:space="preserve">        </w:t>
      </w:r>
      <w:r>
        <w:rPr>
          <w:rFonts w:cs="宋体"/>
          <w:color w:val="auto"/>
          <w:highlight w:val="none"/>
        </w:rPr>
        <w:t>住址：</w:t>
      </w:r>
      <w:r>
        <w:rPr>
          <w:rFonts w:cs="宋体"/>
          <w:color w:val="auto"/>
          <w:highlight w:val="none"/>
          <w:u w:val="single"/>
        </w:rPr>
        <w:t xml:space="preserve">                                             </w:t>
      </w:r>
    </w:p>
    <w:p w14:paraId="16BAAC24">
      <w:pPr>
        <w:pStyle w:val="12"/>
        <w:kinsoku w:val="0"/>
        <w:overflowPunct w:val="0"/>
        <w:spacing w:before="36" w:line="360" w:lineRule="auto"/>
        <w:ind w:left="153" w:right="835"/>
        <w:rPr>
          <w:rFonts w:hint="default" w:cs="宋体"/>
          <w:color w:val="auto"/>
          <w:highlight w:val="none"/>
          <w:u w:val="single"/>
        </w:rPr>
      </w:pPr>
      <w:r>
        <w:rPr>
          <w:rFonts w:cs="宋体"/>
          <w:color w:val="auto"/>
          <w:highlight w:val="none"/>
        </w:rPr>
        <w:t>联系电话：</w:t>
      </w:r>
      <w:r>
        <w:rPr>
          <w:rFonts w:cs="宋体"/>
          <w:color w:val="auto"/>
          <w:highlight w:val="none"/>
          <w:u w:val="single"/>
        </w:rPr>
        <w:t xml:space="preserve">                                                                       </w:t>
      </w:r>
    </w:p>
    <w:p w14:paraId="67182952">
      <w:pPr>
        <w:pStyle w:val="12"/>
        <w:kinsoku w:val="0"/>
        <w:overflowPunct w:val="0"/>
        <w:spacing w:line="360" w:lineRule="auto"/>
        <w:ind w:left="153"/>
        <w:rPr>
          <w:rFonts w:hint="default" w:cs="宋体"/>
          <w:color w:val="auto"/>
          <w:highlight w:val="none"/>
          <w:u w:val="single"/>
        </w:rPr>
      </w:pPr>
      <w:r>
        <w:rPr>
          <w:rFonts w:cs="宋体"/>
          <w:color w:val="auto"/>
          <w:highlight w:val="none"/>
        </w:rPr>
        <w:t>起异议事项的基本事实：</w:t>
      </w:r>
      <w:r>
        <w:rPr>
          <w:rFonts w:cs="宋体"/>
          <w:color w:val="auto"/>
          <w:highlight w:val="none"/>
          <w:u w:val="single"/>
        </w:rPr>
        <w:t xml:space="preserve">                                                           </w:t>
      </w:r>
    </w:p>
    <w:p w14:paraId="24552937">
      <w:pPr>
        <w:pStyle w:val="12"/>
        <w:kinsoku w:val="0"/>
        <w:overflowPunct w:val="0"/>
        <w:spacing w:before="135" w:line="360" w:lineRule="auto"/>
        <w:ind w:left="153"/>
        <w:rPr>
          <w:rFonts w:hint="default" w:cs="宋体"/>
          <w:color w:val="auto"/>
          <w:highlight w:val="none"/>
          <w:u w:val="single"/>
        </w:rPr>
      </w:pPr>
      <w:r>
        <w:rPr>
          <w:rFonts w:cs="宋体"/>
          <w:color w:val="auto"/>
          <w:highlight w:val="none"/>
          <w:u w:val="single"/>
        </w:rPr>
        <w:t xml:space="preserve">                                                                                  </w:t>
      </w:r>
    </w:p>
    <w:p w14:paraId="3094AE2B">
      <w:pPr>
        <w:pStyle w:val="12"/>
        <w:kinsoku w:val="0"/>
        <w:overflowPunct w:val="0"/>
        <w:spacing w:line="360" w:lineRule="auto"/>
        <w:ind w:left="153"/>
        <w:rPr>
          <w:rFonts w:hint="default" w:cs="宋体"/>
          <w:color w:val="auto"/>
          <w:highlight w:val="none"/>
          <w:u w:val="single"/>
        </w:rPr>
      </w:pPr>
      <w:r>
        <w:rPr>
          <w:rFonts w:cs="宋体"/>
          <w:color w:val="auto"/>
          <w:highlight w:val="none"/>
        </w:rPr>
        <w:t>相关请求及主张：</w:t>
      </w:r>
      <w:r>
        <w:rPr>
          <w:rFonts w:cs="宋体"/>
          <w:color w:val="auto"/>
          <w:highlight w:val="none"/>
          <w:u w:val="single"/>
        </w:rPr>
        <w:t xml:space="preserve">                                                                 </w:t>
      </w:r>
    </w:p>
    <w:p w14:paraId="76C9C424">
      <w:pPr>
        <w:pStyle w:val="12"/>
        <w:kinsoku w:val="0"/>
        <w:overflowPunct w:val="0"/>
        <w:spacing w:line="360" w:lineRule="auto"/>
        <w:ind w:left="153"/>
        <w:rPr>
          <w:rFonts w:hint="default" w:cs="宋体"/>
          <w:color w:val="auto"/>
          <w:highlight w:val="none"/>
          <w:u w:val="single"/>
        </w:rPr>
      </w:pPr>
      <w:r>
        <w:rPr>
          <w:rFonts w:cs="宋体"/>
          <w:color w:val="auto"/>
          <w:highlight w:val="none"/>
          <w:u w:val="single"/>
        </w:rPr>
        <w:t xml:space="preserve">                                                                                  </w:t>
      </w:r>
    </w:p>
    <w:p w14:paraId="67149ECD">
      <w:pPr>
        <w:pStyle w:val="12"/>
        <w:kinsoku w:val="0"/>
        <w:overflowPunct w:val="0"/>
        <w:spacing w:line="360" w:lineRule="auto"/>
        <w:ind w:left="153"/>
        <w:rPr>
          <w:rFonts w:hint="default" w:cs="宋体"/>
          <w:color w:val="auto"/>
          <w:highlight w:val="none"/>
          <w:u w:val="single"/>
        </w:rPr>
      </w:pPr>
      <w:r>
        <w:rPr>
          <w:rFonts w:cs="宋体"/>
          <w:color w:val="auto"/>
          <w:highlight w:val="none"/>
        </w:rPr>
        <w:t>有效线索和相关证明材料：</w:t>
      </w:r>
      <w:r>
        <w:rPr>
          <w:rFonts w:cs="宋体"/>
          <w:color w:val="auto"/>
          <w:highlight w:val="none"/>
          <w:u w:val="single"/>
        </w:rPr>
        <w:t xml:space="preserve">                                                         </w:t>
      </w:r>
    </w:p>
    <w:p w14:paraId="1FE7DB7F">
      <w:pPr>
        <w:pStyle w:val="12"/>
        <w:kinsoku w:val="0"/>
        <w:overflowPunct w:val="0"/>
        <w:spacing w:before="135" w:line="360" w:lineRule="auto"/>
        <w:ind w:left="153"/>
        <w:rPr>
          <w:rFonts w:hint="default" w:cs="宋体"/>
          <w:color w:val="auto"/>
          <w:highlight w:val="none"/>
          <w:u w:val="single"/>
        </w:rPr>
      </w:pPr>
      <w:r>
        <w:rPr>
          <w:rFonts w:cs="宋体"/>
          <w:color w:val="auto"/>
          <w:highlight w:val="none"/>
          <w:u w:val="single"/>
        </w:rPr>
        <w:t xml:space="preserve">                                                                                  </w:t>
      </w:r>
    </w:p>
    <w:p w14:paraId="4AFBE9C7">
      <w:pPr>
        <w:pStyle w:val="12"/>
        <w:kinsoku w:val="0"/>
        <w:overflowPunct w:val="0"/>
        <w:spacing w:line="360" w:lineRule="auto"/>
        <w:ind w:left="153"/>
        <w:rPr>
          <w:rFonts w:hint="default" w:cs="宋体"/>
          <w:color w:val="auto"/>
          <w:highlight w:val="none"/>
          <w:u w:val="single"/>
        </w:rPr>
      </w:pPr>
      <w:r>
        <w:rPr>
          <w:rFonts w:cs="宋体"/>
          <w:color w:val="auto"/>
          <w:highlight w:val="none"/>
        </w:rPr>
        <w:t>异议人与提起项目有利害关系的证明材料：</w:t>
      </w:r>
      <w:r>
        <w:rPr>
          <w:rFonts w:cs="宋体"/>
          <w:color w:val="auto"/>
          <w:highlight w:val="none"/>
          <w:u w:val="single"/>
        </w:rPr>
        <w:t xml:space="preserve">                                           </w:t>
      </w:r>
    </w:p>
    <w:p w14:paraId="55779E26">
      <w:pPr>
        <w:pStyle w:val="12"/>
        <w:kinsoku w:val="0"/>
        <w:overflowPunct w:val="0"/>
        <w:spacing w:line="360" w:lineRule="auto"/>
        <w:ind w:left="153"/>
        <w:rPr>
          <w:rFonts w:hint="default" w:cs="宋体"/>
          <w:color w:val="auto"/>
          <w:highlight w:val="none"/>
          <w:u w:val="single"/>
        </w:rPr>
      </w:pPr>
      <w:r>
        <w:rPr>
          <w:rFonts w:cs="宋体"/>
          <w:color w:val="auto"/>
          <w:highlight w:val="none"/>
          <w:u w:val="single"/>
        </w:rPr>
        <w:t xml:space="preserve">                                                                                  </w:t>
      </w:r>
    </w:p>
    <w:p w14:paraId="4E31BB97">
      <w:pPr>
        <w:pStyle w:val="12"/>
        <w:kinsoku w:val="0"/>
        <w:overflowPunct w:val="0"/>
        <w:spacing w:line="360" w:lineRule="auto"/>
        <w:ind w:left="153"/>
        <w:rPr>
          <w:rFonts w:hint="default" w:cs="宋体"/>
          <w:color w:val="auto"/>
          <w:highlight w:val="none"/>
        </w:rPr>
      </w:pPr>
      <w:r>
        <w:rPr>
          <w:rFonts w:cs="宋体"/>
          <w:color w:val="auto"/>
          <w:highlight w:val="none"/>
        </w:rPr>
        <w:t>此致</w:t>
      </w:r>
    </w:p>
    <w:p w14:paraId="408810B2">
      <w:pPr>
        <w:pStyle w:val="12"/>
        <w:kinsoku w:val="0"/>
        <w:overflowPunct w:val="0"/>
        <w:spacing w:line="360" w:lineRule="auto"/>
        <w:ind w:left="153"/>
        <w:rPr>
          <w:rFonts w:hint="default" w:cs="宋体"/>
          <w:color w:val="auto"/>
          <w:highlight w:val="none"/>
          <w:u w:val="single"/>
        </w:rPr>
      </w:pPr>
    </w:p>
    <w:p w14:paraId="07CAE53E">
      <w:pPr>
        <w:pStyle w:val="12"/>
        <w:kinsoku w:val="0"/>
        <w:overflowPunct w:val="0"/>
        <w:spacing w:line="360" w:lineRule="auto"/>
        <w:rPr>
          <w:rFonts w:hint="default" w:cs="宋体"/>
          <w:color w:val="auto"/>
          <w:highlight w:val="none"/>
        </w:rPr>
      </w:pPr>
      <w:r>
        <w:rPr>
          <w:rFonts w:cs="宋体"/>
          <w:color w:val="auto"/>
          <w:highlight w:val="none"/>
          <w:u w:val="single"/>
        </w:rPr>
        <w:t xml:space="preserve">        （招选人）        </w:t>
      </w:r>
      <w:r>
        <w:rPr>
          <w:rFonts w:cs="宋体"/>
          <w:color w:val="auto"/>
          <w:highlight w:val="none"/>
        </w:rPr>
        <w:t xml:space="preserve"> </w:t>
      </w:r>
    </w:p>
    <w:p w14:paraId="1DB39091">
      <w:pPr>
        <w:pStyle w:val="12"/>
        <w:kinsoku w:val="0"/>
        <w:overflowPunct w:val="0"/>
        <w:spacing w:before="135" w:line="360" w:lineRule="auto"/>
        <w:ind w:left="0" w:right="860" w:firstLine="3838" w:firstLineChars="1828"/>
        <w:rPr>
          <w:rFonts w:hint="default" w:cs="宋体"/>
          <w:color w:val="auto"/>
          <w:highlight w:val="none"/>
        </w:rPr>
      </w:pPr>
      <w:r>
        <w:rPr>
          <w:rFonts w:cs="宋体"/>
          <w:color w:val="auto"/>
          <w:highlight w:val="none"/>
        </w:rPr>
        <w:t>异议人（盖单位章）：</w:t>
      </w:r>
      <w:r>
        <w:rPr>
          <w:rFonts w:cs="宋体"/>
          <w:color w:val="auto"/>
          <w:highlight w:val="none"/>
          <w:u w:val="single"/>
        </w:rPr>
        <w:t xml:space="preserve">                           </w:t>
      </w:r>
    </w:p>
    <w:p w14:paraId="0D1BA537">
      <w:pPr>
        <w:pStyle w:val="12"/>
        <w:kinsoku w:val="0"/>
        <w:overflowPunct w:val="0"/>
        <w:spacing w:before="36" w:line="360" w:lineRule="auto"/>
        <w:ind w:left="3933"/>
        <w:rPr>
          <w:rFonts w:hint="default" w:cs="宋体"/>
          <w:color w:val="auto"/>
          <w:highlight w:val="none"/>
        </w:rPr>
      </w:pPr>
      <w:r>
        <w:rPr>
          <w:rFonts w:cs="宋体"/>
          <w:color w:val="auto"/>
          <w:highlight w:val="none"/>
        </w:rPr>
        <w:t>或法定代表人或授权代表（签字）：</w:t>
      </w:r>
      <w:r>
        <w:rPr>
          <w:rFonts w:cs="宋体"/>
          <w:color w:val="auto"/>
          <w:highlight w:val="none"/>
          <w:u w:val="single"/>
        </w:rPr>
        <w:t xml:space="preserve">              </w:t>
      </w:r>
    </w:p>
    <w:p w14:paraId="128CA2F9">
      <w:pPr>
        <w:pStyle w:val="12"/>
        <w:tabs>
          <w:tab w:val="left" w:pos="5927"/>
          <w:tab w:val="left" w:pos="6556"/>
        </w:tabs>
        <w:kinsoku w:val="0"/>
        <w:overflowPunct w:val="0"/>
        <w:spacing w:before="36" w:line="360" w:lineRule="auto"/>
        <w:ind w:left="5299"/>
        <w:jc w:val="right"/>
        <w:rPr>
          <w:rFonts w:hint="default" w:cs="宋体"/>
          <w:color w:val="auto"/>
          <w:highlight w:val="none"/>
        </w:rPr>
      </w:pPr>
    </w:p>
    <w:p w14:paraId="1EABC59A">
      <w:pPr>
        <w:pStyle w:val="12"/>
        <w:tabs>
          <w:tab w:val="left" w:pos="5927"/>
          <w:tab w:val="left" w:pos="6556"/>
        </w:tabs>
        <w:kinsoku w:val="0"/>
        <w:overflowPunct w:val="0"/>
        <w:spacing w:before="36" w:line="360" w:lineRule="auto"/>
        <w:ind w:left="5299"/>
        <w:jc w:val="right"/>
        <w:rPr>
          <w:rFonts w:hint="default" w:cs="宋体"/>
          <w:color w:val="auto"/>
          <w:highlight w:val="none"/>
        </w:rPr>
      </w:pPr>
      <w:r>
        <w:rPr>
          <w:rFonts w:cs="宋体"/>
          <w:color w:val="auto"/>
          <w:highlight w:val="none"/>
        </w:rPr>
        <w:t xml:space="preserve">年   月  </w:t>
      </w:r>
      <w:r>
        <w:rPr>
          <w:rFonts w:cs="宋体"/>
          <w:color w:val="auto"/>
          <w:szCs w:val="22"/>
          <w:highlight w:val="none"/>
        </w:rPr>
        <w:t>日</w:t>
      </w:r>
    </w:p>
    <w:p w14:paraId="38786D66">
      <w:pPr>
        <w:pStyle w:val="12"/>
        <w:tabs>
          <w:tab w:val="left" w:pos="5927"/>
          <w:tab w:val="left" w:pos="6556"/>
        </w:tabs>
        <w:kinsoku w:val="0"/>
        <w:overflowPunct w:val="0"/>
        <w:spacing w:before="36" w:line="360" w:lineRule="auto"/>
        <w:ind w:left="5299"/>
        <w:rPr>
          <w:rFonts w:hint="default" w:cs="宋体"/>
          <w:color w:val="auto"/>
          <w:highlight w:val="none"/>
        </w:rPr>
        <w:sectPr>
          <w:pgSz w:w="11900" w:h="16840"/>
          <w:pgMar w:top="1440" w:right="1080" w:bottom="1440" w:left="1080" w:header="881" w:footer="894" w:gutter="0"/>
          <w:cols w:space="720" w:num="1"/>
        </w:sectPr>
      </w:pPr>
    </w:p>
    <w:p w14:paraId="2D121673">
      <w:pPr>
        <w:pStyle w:val="12"/>
        <w:kinsoku w:val="0"/>
        <w:overflowPunct w:val="0"/>
        <w:spacing w:before="0" w:line="360" w:lineRule="auto"/>
        <w:ind w:left="153"/>
        <w:rPr>
          <w:rFonts w:hint="default" w:cs="宋体"/>
          <w:color w:val="auto"/>
          <w:szCs w:val="21"/>
          <w:highlight w:val="none"/>
        </w:rPr>
      </w:pPr>
      <w:r>
        <w:rPr>
          <w:rFonts w:cs="宋体"/>
          <w:b/>
          <w:color w:val="auto"/>
          <w:szCs w:val="21"/>
          <w:highlight w:val="none"/>
        </w:rPr>
        <w:t xml:space="preserve">附件 </w:t>
      </w:r>
      <w:r>
        <w:rPr>
          <w:rFonts w:cs="宋体"/>
          <w:color w:val="auto"/>
          <w:szCs w:val="21"/>
          <w:highlight w:val="none"/>
        </w:rPr>
        <w:t>2</w:t>
      </w:r>
    </w:p>
    <w:p w14:paraId="3EBE5009">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投诉书</w:t>
      </w:r>
    </w:p>
    <w:p w14:paraId="64C1957A">
      <w:pPr>
        <w:pStyle w:val="12"/>
        <w:kinsoku w:val="0"/>
        <w:overflowPunct w:val="0"/>
        <w:spacing w:before="36" w:line="360" w:lineRule="auto"/>
        <w:rPr>
          <w:rFonts w:hint="default" w:cs="宋体"/>
          <w:color w:val="auto"/>
          <w:highlight w:val="none"/>
        </w:rPr>
      </w:pPr>
      <w:r>
        <w:rPr>
          <w:rFonts w:cs="宋体"/>
          <w:color w:val="auto"/>
          <w:highlight w:val="none"/>
        </w:rPr>
        <w:t>就所投诉事项，投诉人已于     年 月  日向招选人提出异议，并于     年 月  日</w:t>
      </w:r>
    </w:p>
    <w:p w14:paraId="6AF87EF4">
      <w:pPr>
        <w:pStyle w:val="12"/>
        <w:kinsoku w:val="0"/>
        <w:overflowPunct w:val="0"/>
        <w:spacing w:line="360" w:lineRule="auto"/>
        <w:ind w:left="153"/>
        <w:rPr>
          <w:rFonts w:hint="default" w:cs="宋体"/>
          <w:color w:val="auto"/>
          <w:highlight w:val="none"/>
        </w:rPr>
      </w:pPr>
      <w:r>
        <w:rPr>
          <w:rFonts w:cs="宋体"/>
          <w:color w:val="auto"/>
          <w:highlight w:val="none"/>
        </w:rPr>
        <w:t>收到招选人书面答复（后附异议及答复材料）。</w:t>
      </w:r>
    </w:p>
    <w:p w14:paraId="64372CFB">
      <w:pPr>
        <w:pStyle w:val="12"/>
        <w:kinsoku w:val="0"/>
        <w:overflowPunct w:val="0"/>
        <w:spacing w:before="36" w:line="360" w:lineRule="auto"/>
        <w:ind w:left="571" w:leftChars="238" w:right="835"/>
        <w:rPr>
          <w:rFonts w:hint="default" w:cs="宋体"/>
          <w:color w:val="auto"/>
          <w:highlight w:val="none"/>
          <w:u w:val="single"/>
        </w:rPr>
      </w:pPr>
      <w:r>
        <w:rPr>
          <w:rFonts w:cs="宋体"/>
          <w:color w:val="auto"/>
          <w:highlight w:val="none"/>
        </w:rPr>
        <w:t>投诉人：</w:t>
      </w:r>
      <w:r>
        <w:rPr>
          <w:rFonts w:cs="宋体"/>
          <w:color w:val="auto"/>
          <w:highlight w:val="none"/>
          <w:u w:val="single"/>
        </w:rPr>
        <w:t xml:space="preserve">                                                                      </w:t>
      </w:r>
    </w:p>
    <w:p w14:paraId="37B658FB">
      <w:pPr>
        <w:pStyle w:val="12"/>
        <w:kinsoku w:val="0"/>
        <w:overflowPunct w:val="0"/>
        <w:spacing w:before="36" w:line="360" w:lineRule="auto"/>
        <w:ind w:left="571" w:leftChars="238" w:right="835"/>
        <w:rPr>
          <w:rFonts w:hint="default" w:cs="宋体"/>
          <w:color w:val="auto"/>
          <w:highlight w:val="none"/>
          <w:u w:val="single"/>
        </w:rPr>
      </w:pPr>
      <w:r>
        <w:rPr>
          <w:rFonts w:cs="宋体"/>
          <w:color w:val="auto"/>
          <w:highlight w:val="none"/>
        </w:rPr>
        <w:t>住所地：</w:t>
      </w:r>
      <w:r>
        <w:rPr>
          <w:rFonts w:cs="宋体"/>
          <w:color w:val="auto"/>
          <w:highlight w:val="none"/>
          <w:u w:val="single"/>
        </w:rPr>
        <w:t xml:space="preserve">                                                                      </w:t>
      </w:r>
    </w:p>
    <w:p w14:paraId="046B4571">
      <w:pPr>
        <w:pStyle w:val="12"/>
        <w:kinsoku w:val="0"/>
        <w:overflowPunct w:val="0"/>
        <w:spacing w:before="36" w:line="360" w:lineRule="auto"/>
        <w:ind w:left="153" w:right="835" w:firstLine="420" w:firstLineChars="200"/>
        <w:rPr>
          <w:rFonts w:hint="default" w:cs="宋体"/>
          <w:color w:val="auto"/>
          <w:highlight w:val="none"/>
        </w:rPr>
      </w:pPr>
      <w:r>
        <w:rPr>
          <w:rFonts w:cs="宋体"/>
          <w:color w:val="auto"/>
          <w:highlight w:val="none"/>
        </w:rPr>
        <w:t>邮编：</w:t>
      </w:r>
      <w:r>
        <w:rPr>
          <w:rFonts w:cs="宋体"/>
          <w:color w:val="auto"/>
          <w:highlight w:val="none"/>
          <w:u w:val="single"/>
        </w:rPr>
        <w:t xml:space="preserve">                                                                        </w:t>
      </w:r>
    </w:p>
    <w:p w14:paraId="05B7E3AC">
      <w:pPr>
        <w:pStyle w:val="12"/>
        <w:kinsoku w:val="0"/>
        <w:overflowPunct w:val="0"/>
        <w:spacing w:before="36" w:line="360" w:lineRule="auto"/>
        <w:ind w:left="153" w:right="835" w:firstLine="420" w:firstLineChars="200"/>
        <w:rPr>
          <w:rFonts w:hint="default" w:cs="宋体"/>
          <w:color w:val="auto"/>
          <w:highlight w:val="none"/>
        </w:rPr>
      </w:pPr>
      <w:r>
        <w:rPr>
          <w:rFonts w:cs="宋体"/>
          <w:color w:val="auto"/>
          <w:highlight w:val="none"/>
        </w:rPr>
        <w:t>法定代表人：</w:t>
      </w:r>
      <w:r>
        <w:rPr>
          <w:rFonts w:cs="宋体"/>
          <w:color w:val="auto"/>
          <w:highlight w:val="none"/>
          <w:u w:val="single"/>
        </w:rPr>
        <w:t xml:space="preserve">                                                                  </w:t>
      </w:r>
    </w:p>
    <w:p w14:paraId="34C3DF88">
      <w:pPr>
        <w:pStyle w:val="12"/>
        <w:kinsoku w:val="0"/>
        <w:overflowPunct w:val="0"/>
        <w:spacing w:before="36" w:line="360" w:lineRule="auto"/>
        <w:ind w:left="153" w:right="835" w:firstLine="420" w:firstLineChars="200"/>
        <w:rPr>
          <w:rFonts w:hint="default" w:cs="宋体"/>
          <w:color w:val="auto"/>
          <w:highlight w:val="none"/>
          <w:u w:val="single"/>
        </w:rPr>
      </w:pPr>
      <w:r>
        <w:rPr>
          <w:rFonts w:cs="宋体"/>
          <w:color w:val="auto"/>
          <w:highlight w:val="none"/>
        </w:rPr>
        <w:t>联系电话：</w:t>
      </w:r>
      <w:r>
        <w:rPr>
          <w:rFonts w:cs="宋体"/>
          <w:color w:val="auto"/>
          <w:highlight w:val="none"/>
          <w:u w:val="single"/>
        </w:rPr>
        <w:t xml:space="preserve">                                                                    </w:t>
      </w:r>
    </w:p>
    <w:p w14:paraId="7BD5D233">
      <w:pPr>
        <w:pStyle w:val="12"/>
        <w:kinsoku w:val="0"/>
        <w:overflowPunct w:val="0"/>
        <w:spacing w:before="135" w:line="360" w:lineRule="auto"/>
        <w:ind w:right="419"/>
        <w:rPr>
          <w:rFonts w:hint="default" w:cs="宋体"/>
          <w:color w:val="auto"/>
          <w:highlight w:val="none"/>
        </w:rPr>
      </w:pPr>
    </w:p>
    <w:p w14:paraId="3E9049F8">
      <w:pPr>
        <w:pStyle w:val="12"/>
        <w:kinsoku w:val="0"/>
        <w:overflowPunct w:val="0"/>
        <w:spacing w:before="36" w:line="360" w:lineRule="auto"/>
        <w:ind w:left="571" w:leftChars="238" w:right="835"/>
        <w:rPr>
          <w:rFonts w:hint="default" w:cs="宋体"/>
          <w:color w:val="auto"/>
          <w:highlight w:val="none"/>
          <w:u w:val="single"/>
        </w:rPr>
      </w:pPr>
      <w:r>
        <w:rPr>
          <w:rFonts w:cs="宋体"/>
          <w:color w:val="auto"/>
          <w:highlight w:val="none"/>
        </w:rPr>
        <w:t>投诉人授权代表：</w:t>
      </w:r>
      <w:r>
        <w:rPr>
          <w:rFonts w:cs="宋体"/>
          <w:color w:val="auto"/>
          <w:highlight w:val="none"/>
          <w:u w:val="single"/>
        </w:rPr>
        <w:t xml:space="preserve">                                                              </w:t>
      </w:r>
      <w:r>
        <w:rPr>
          <w:rFonts w:cs="宋体"/>
          <w:color w:val="auto"/>
          <w:highlight w:val="none"/>
        </w:rPr>
        <w:t>性别：</w:t>
      </w:r>
      <w:r>
        <w:rPr>
          <w:rFonts w:cs="宋体"/>
          <w:color w:val="auto"/>
          <w:highlight w:val="none"/>
          <w:u w:val="single"/>
        </w:rPr>
        <w:t xml:space="preserve">        </w:t>
      </w:r>
      <w:r>
        <w:rPr>
          <w:rFonts w:cs="宋体"/>
          <w:color w:val="auto"/>
          <w:highlight w:val="none"/>
        </w:rPr>
        <w:t>年龄：</w:t>
      </w:r>
      <w:r>
        <w:rPr>
          <w:rFonts w:cs="宋体"/>
          <w:color w:val="auto"/>
          <w:highlight w:val="none"/>
          <w:u w:val="single"/>
        </w:rPr>
        <w:t xml:space="preserve">        </w:t>
      </w:r>
      <w:r>
        <w:rPr>
          <w:rFonts w:cs="宋体"/>
          <w:color w:val="auto"/>
          <w:highlight w:val="none"/>
        </w:rPr>
        <w:t>住址：</w:t>
      </w:r>
      <w:r>
        <w:rPr>
          <w:rFonts w:cs="宋体"/>
          <w:color w:val="auto"/>
          <w:highlight w:val="none"/>
          <w:u w:val="single"/>
        </w:rPr>
        <w:t xml:space="preserve">                                          </w:t>
      </w:r>
    </w:p>
    <w:p w14:paraId="1462DD90">
      <w:pPr>
        <w:pStyle w:val="12"/>
        <w:kinsoku w:val="0"/>
        <w:overflowPunct w:val="0"/>
        <w:spacing w:before="36" w:line="360" w:lineRule="auto"/>
        <w:ind w:left="153" w:right="835" w:firstLine="420" w:firstLineChars="200"/>
        <w:rPr>
          <w:rFonts w:hint="default" w:cs="宋体"/>
          <w:color w:val="auto"/>
          <w:highlight w:val="none"/>
          <w:u w:val="single"/>
        </w:rPr>
      </w:pPr>
      <w:r>
        <w:rPr>
          <w:rFonts w:cs="宋体"/>
          <w:color w:val="auto"/>
          <w:highlight w:val="none"/>
        </w:rPr>
        <w:t>联系电话：</w:t>
      </w:r>
      <w:r>
        <w:rPr>
          <w:rFonts w:cs="宋体"/>
          <w:color w:val="auto"/>
          <w:highlight w:val="none"/>
          <w:u w:val="single"/>
        </w:rPr>
        <w:t xml:space="preserve">                                                                    </w:t>
      </w:r>
    </w:p>
    <w:p w14:paraId="2677972B">
      <w:pPr>
        <w:pStyle w:val="12"/>
        <w:kinsoku w:val="0"/>
        <w:overflowPunct w:val="0"/>
        <w:spacing w:before="4" w:line="360" w:lineRule="auto"/>
        <w:ind w:left="0"/>
        <w:rPr>
          <w:rFonts w:hint="default" w:cs="宋体"/>
          <w:color w:val="auto"/>
          <w:sz w:val="17"/>
          <w:highlight w:val="none"/>
        </w:rPr>
      </w:pPr>
    </w:p>
    <w:p w14:paraId="0FBE9AB5">
      <w:pPr>
        <w:pStyle w:val="12"/>
        <w:kinsoku w:val="0"/>
        <w:overflowPunct w:val="0"/>
        <w:spacing w:before="36" w:line="360" w:lineRule="auto"/>
        <w:ind w:left="571" w:leftChars="238" w:right="835"/>
        <w:rPr>
          <w:rFonts w:hint="default" w:cs="宋体"/>
          <w:color w:val="auto"/>
          <w:highlight w:val="none"/>
          <w:u w:val="single"/>
        </w:rPr>
      </w:pPr>
      <w:r>
        <w:rPr>
          <w:rFonts w:cs="宋体"/>
          <w:color w:val="auto"/>
          <w:highlight w:val="none"/>
        </w:rPr>
        <w:t>被投诉人：</w:t>
      </w:r>
      <w:r>
        <w:rPr>
          <w:rFonts w:cs="宋体"/>
          <w:color w:val="auto"/>
          <w:highlight w:val="none"/>
          <w:u w:val="single"/>
        </w:rPr>
        <w:t xml:space="preserve">                                                                    </w:t>
      </w:r>
      <w:r>
        <w:rPr>
          <w:rFonts w:cs="宋体"/>
          <w:color w:val="auto"/>
          <w:highlight w:val="none"/>
        </w:rPr>
        <w:t>住所地：</w:t>
      </w:r>
      <w:r>
        <w:rPr>
          <w:rFonts w:cs="宋体"/>
          <w:color w:val="auto"/>
          <w:highlight w:val="none"/>
          <w:u w:val="single"/>
        </w:rPr>
        <w:t xml:space="preserve">                                                                      </w:t>
      </w:r>
    </w:p>
    <w:p w14:paraId="136E863F">
      <w:pPr>
        <w:pStyle w:val="12"/>
        <w:kinsoku w:val="0"/>
        <w:overflowPunct w:val="0"/>
        <w:spacing w:before="36" w:line="360" w:lineRule="auto"/>
        <w:ind w:left="153" w:right="835" w:firstLine="420" w:firstLineChars="200"/>
        <w:rPr>
          <w:rFonts w:hint="default" w:cs="宋体"/>
          <w:color w:val="auto"/>
          <w:highlight w:val="none"/>
        </w:rPr>
      </w:pPr>
      <w:r>
        <w:rPr>
          <w:rFonts w:cs="宋体"/>
          <w:color w:val="auto"/>
          <w:highlight w:val="none"/>
        </w:rPr>
        <w:t>邮编：</w:t>
      </w:r>
      <w:r>
        <w:rPr>
          <w:rFonts w:cs="宋体"/>
          <w:color w:val="auto"/>
          <w:highlight w:val="none"/>
          <w:u w:val="single"/>
        </w:rPr>
        <w:t xml:space="preserve">                                                                        </w:t>
      </w:r>
    </w:p>
    <w:p w14:paraId="0A32B646">
      <w:pPr>
        <w:pStyle w:val="12"/>
        <w:kinsoku w:val="0"/>
        <w:overflowPunct w:val="0"/>
        <w:spacing w:before="36" w:line="360" w:lineRule="auto"/>
        <w:ind w:left="153" w:right="835" w:firstLine="420" w:firstLineChars="200"/>
        <w:rPr>
          <w:rFonts w:hint="default" w:cs="宋体"/>
          <w:color w:val="auto"/>
          <w:highlight w:val="none"/>
        </w:rPr>
      </w:pPr>
      <w:r>
        <w:rPr>
          <w:rFonts w:cs="宋体"/>
          <w:color w:val="auto"/>
          <w:highlight w:val="none"/>
        </w:rPr>
        <w:t>法定代表人：</w:t>
      </w:r>
      <w:r>
        <w:rPr>
          <w:rFonts w:cs="宋体"/>
          <w:color w:val="auto"/>
          <w:highlight w:val="none"/>
          <w:u w:val="single"/>
        </w:rPr>
        <w:t xml:space="preserve">                                                                  </w:t>
      </w:r>
    </w:p>
    <w:p w14:paraId="2DF88188">
      <w:pPr>
        <w:pStyle w:val="12"/>
        <w:kinsoku w:val="0"/>
        <w:overflowPunct w:val="0"/>
        <w:spacing w:before="36" w:line="360" w:lineRule="auto"/>
        <w:ind w:left="153" w:right="835" w:firstLine="420" w:firstLineChars="200"/>
        <w:rPr>
          <w:rFonts w:hint="default" w:cs="宋体"/>
          <w:color w:val="auto"/>
          <w:highlight w:val="none"/>
          <w:u w:val="single"/>
        </w:rPr>
      </w:pPr>
      <w:r>
        <w:rPr>
          <w:rFonts w:cs="宋体"/>
          <w:color w:val="auto"/>
          <w:highlight w:val="none"/>
        </w:rPr>
        <w:t>联系电话：</w:t>
      </w:r>
      <w:r>
        <w:rPr>
          <w:rFonts w:cs="宋体"/>
          <w:color w:val="auto"/>
          <w:highlight w:val="none"/>
          <w:u w:val="single"/>
        </w:rPr>
        <w:t xml:space="preserve">                                                                    </w:t>
      </w:r>
    </w:p>
    <w:p w14:paraId="7FC9D9F4">
      <w:pPr>
        <w:pStyle w:val="12"/>
        <w:kinsoku w:val="0"/>
        <w:overflowPunct w:val="0"/>
        <w:spacing w:before="36" w:line="360" w:lineRule="auto"/>
        <w:ind w:right="419"/>
        <w:rPr>
          <w:rFonts w:hint="default" w:cs="宋体"/>
          <w:color w:val="auto"/>
          <w:highlight w:val="none"/>
        </w:rPr>
      </w:pPr>
    </w:p>
    <w:p w14:paraId="6C679A4D">
      <w:pPr>
        <w:pStyle w:val="12"/>
        <w:kinsoku w:val="0"/>
        <w:overflowPunct w:val="0"/>
        <w:spacing w:before="36" w:line="360" w:lineRule="auto"/>
        <w:rPr>
          <w:rFonts w:hint="default" w:cs="宋体"/>
          <w:color w:val="auto"/>
          <w:highlight w:val="none"/>
        </w:rPr>
      </w:pPr>
      <w:r>
        <w:rPr>
          <w:rFonts w:cs="宋体"/>
          <w:color w:val="auto"/>
          <w:highlight w:val="none"/>
        </w:rPr>
        <w:t>投诉事项的基本事实：</w:t>
      </w:r>
      <w:r>
        <w:rPr>
          <w:rFonts w:cs="宋体"/>
          <w:color w:val="auto"/>
          <w:highlight w:val="none"/>
          <w:u w:val="single"/>
        </w:rPr>
        <w:t xml:space="preserve">                                                            </w:t>
      </w:r>
      <w:r>
        <w:rPr>
          <w:rFonts w:cs="宋体"/>
          <w:color w:val="auto"/>
          <w:highlight w:val="none"/>
        </w:rPr>
        <w:t xml:space="preserve"> </w:t>
      </w:r>
    </w:p>
    <w:p w14:paraId="394576ED">
      <w:pPr>
        <w:pStyle w:val="12"/>
        <w:kinsoku w:val="0"/>
        <w:overflowPunct w:val="0"/>
        <w:spacing w:line="360" w:lineRule="auto"/>
        <w:rPr>
          <w:rFonts w:hint="default" w:cs="宋体"/>
          <w:color w:val="auto"/>
          <w:highlight w:val="none"/>
        </w:rPr>
      </w:pPr>
      <w:r>
        <w:rPr>
          <w:rFonts w:cs="宋体"/>
          <w:color w:val="auto"/>
          <w:highlight w:val="none"/>
        </w:rPr>
        <w:t>相关请求及主张：</w:t>
      </w:r>
      <w:r>
        <w:rPr>
          <w:rFonts w:cs="宋体"/>
          <w:color w:val="auto"/>
          <w:highlight w:val="none"/>
          <w:u w:val="single"/>
        </w:rPr>
        <w:t xml:space="preserve">                                                                </w:t>
      </w:r>
      <w:r>
        <w:rPr>
          <w:rFonts w:cs="宋体"/>
          <w:color w:val="auto"/>
          <w:highlight w:val="none"/>
        </w:rPr>
        <w:t xml:space="preserve"> </w:t>
      </w:r>
    </w:p>
    <w:p w14:paraId="6E0B330F">
      <w:pPr>
        <w:pStyle w:val="12"/>
        <w:kinsoku w:val="0"/>
        <w:overflowPunct w:val="0"/>
        <w:spacing w:line="360" w:lineRule="auto"/>
        <w:rPr>
          <w:rFonts w:hint="default" w:cs="宋体"/>
          <w:color w:val="auto"/>
          <w:highlight w:val="none"/>
        </w:rPr>
      </w:pPr>
      <w:r>
        <w:rPr>
          <w:rFonts w:cs="宋体"/>
          <w:color w:val="auto"/>
          <w:highlight w:val="none"/>
        </w:rPr>
        <w:t>有效线索和相关证明材料：</w:t>
      </w:r>
      <w:r>
        <w:rPr>
          <w:rFonts w:cs="宋体"/>
          <w:color w:val="auto"/>
          <w:highlight w:val="none"/>
          <w:u w:val="single"/>
        </w:rPr>
        <w:t xml:space="preserve">                                                       </w:t>
      </w:r>
      <w:r>
        <w:rPr>
          <w:rFonts w:cs="宋体"/>
          <w:color w:val="auto"/>
          <w:highlight w:val="none"/>
        </w:rPr>
        <w:t xml:space="preserve">  </w:t>
      </w:r>
    </w:p>
    <w:p w14:paraId="6DFB8114">
      <w:pPr>
        <w:pStyle w:val="12"/>
        <w:kinsoku w:val="0"/>
        <w:overflowPunct w:val="0"/>
        <w:spacing w:before="135" w:line="360" w:lineRule="auto"/>
        <w:rPr>
          <w:rFonts w:hint="default" w:cs="宋体"/>
          <w:color w:val="auto"/>
          <w:highlight w:val="none"/>
        </w:rPr>
      </w:pPr>
      <w:r>
        <w:rPr>
          <w:rFonts w:cs="宋体"/>
          <w:color w:val="auto"/>
          <w:highlight w:val="none"/>
        </w:rPr>
        <w:t>投诉人与投诉项目有利害关系的证明材料：</w:t>
      </w:r>
      <w:r>
        <w:rPr>
          <w:rFonts w:cs="宋体"/>
          <w:color w:val="auto"/>
          <w:highlight w:val="none"/>
          <w:u w:val="single"/>
        </w:rPr>
        <w:t xml:space="preserve">                                          </w:t>
      </w:r>
      <w:r>
        <w:rPr>
          <w:rFonts w:cs="宋体"/>
          <w:color w:val="auto"/>
          <w:highlight w:val="none"/>
        </w:rPr>
        <w:t xml:space="preserve"> </w:t>
      </w:r>
    </w:p>
    <w:p w14:paraId="5AF7A8D4">
      <w:pPr>
        <w:pStyle w:val="12"/>
        <w:kinsoku w:val="0"/>
        <w:overflowPunct w:val="0"/>
        <w:spacing w:line="360" w:lineRule="auto"/>
        <w:ind w:left="153"/>
        <w:rPr>
          <w:rFonts w:hint="default" w:cs="宋体"/>
          <w:color w:val="auto"/>
          <w:highlight w:val="none"/>
        </w:rPr>
      </w:pPr>
      <w:r>
        <w:rPr>
          <w:rFonts w:cs="宋体"/>
          <w:color w:val="auto"/>
          <w:highlight w:val="none"/>
        </w:rPr>
        <w:t>此致</w:t>
      </w:r>
    </w:p>
    <w:p w14:paraId="6E8DD479">
      <w:pPr>
        <w:pStyle w:val="12"/>
        <w:kinsoku w:val="0"/>
        <w:overflowPunct w:val="0"/>
        <w:spacing w:line="360" w:lineRule="auto"/>
        <w:ind w:left="153"/>
        <w:rPr>
          <w:rFonts w:hint="default" w:cs="宋体"/>
          <w:color w:val="auto"/>
          <w:highlight w:val="none"/>
        </w:rPr>
      </w:pPr>
      <w:r>
        <w:rPr>
          <w:rFonts w:cs="宋体"/>
          <w:color w:val="auto"/>
          <w:highlight w:val="none"/>
          <w:u w:val="single"/>
        </w:rPr>
        <w:t xml:space="preserve">        （投诉受理机关）        </w:t>
      </w:r>
      <w:r>
        <w:rPr>
          <w:rFonts w:cs="宋体"/>
          <w:color w:val="auto"/>
          <w:highlight w:val="none"/>
        </w:rPr>
        <w:t xml:space="preserve"> </w:t>
      </w:r>
    </w:p>
    <w:p w14:paraId="40AF352A">
      <w:pPr>
        <w:pStyle w:val="12"/>
        <w:kinsoku w:val="0"/>
        <w:overflowPunct w:val="0"/>
        <w:spacing w:before="36" w:line="360" w:lineRule="auto"/>
        <w:ind w:left="3933" w:right="1911"/>
        <w:rPr>
          <w:rFonts w:hint="default" w:cs="宋体"/>
          <w:color w:val="auto"/>
          <w:highlight w:val="none"/>
        </w:rPr>
      </w:pPr>
      <w:r>
        <w:rPr>
          <w:rFonts w:cs="宋体"/>
          <w:color w:val="auto"/>
          <w:highlight w:val="none"/>
        </w:rPr>
        <w:t>投诉人（盖单位章）：</w:t>
      </w:r>
      <w:r>
        <w:rPr>
          <w:rFonts w:cs="宋体"/>
          <w:color w:val="auto"/>
          <w:highlight w:val="none"/>
          <w:u w:val="single"/>
        </w:rPr>
        <w:t xml:space="preserve">                          </w:t>
      </w:r>
      <w:r>
        <w:rPr>
          <w:rFonts w:cs="宋体"/>
          <w:color w:val="auto"/>
          <w:highlight w:val="none"/>
        </w:rPr>
        <w:t xml:space="preserve">  </w:t>
      </w:r>
    </w:p>
    <w:p w14:paraId="61C75B78">
      <w:pPr>
        <w:pStyle w:val="12"/>
        <w:kinsoku w:val="0"/>
        <w:overflowPunct w:val="0"/>
        <w:spacing w:before="36" w:line="360" w:lineRule="auto"/>
        <w:ind w:left="3933" w:right="1911"/>
        <w:rPr>
          <w:rFonts w:hint="default" w:cs="宋体"/>
          <w:color w:val="auto"/>
          <w:highlight w:val="none"/>
        </w:rPr>
      </w:pPr>
      <w:r>
        <w:rPr>
          <w:rFonts w:cs="宋体"/>
          <w:color w:val="auto"/>
          <w:highlight w:val="none"/>
        </w:rPr>
        <w:t>法定代表人或授权代表（签字）：</w:t>
      </w:r>
      <w:r>
        <w:rPr>
          <w:rFonts w:cs="宋体"/>
          <w:color w:val="auto"/>
          <w:highlight w:val="none"/>
          <w:u w:val="single"/>
        </w:rPr>
        <w:t xml:space="preserve">            </w:t>
      </w:r>
      <w:r>
        <w:rPr>
          <w:rFonts w:cs="宋体"/>
          <w:color w:val="auto"/>
          <w:highlight w:val="none"/>
        </w:rPr>
        <w:t xml:space="preserve">  </w:t>
      </w:r>
    </w:p>
    <w:p w14:paraId="08539E3A">
      <w:pPr>
        <w:pStyle w:val="12"/>
        <w:tabs>
          <w:tab w:val="left" w:pos="5927"/>
          <w:tab w:val="left" w:pos="6556"/>
        </w:tabs>
        <w:kinsoku w:val="0"/>
        <w:overflowPunct w:val="0"/>
        <w:spacing w:before="36" w:line="360" w:lineRule="auto"/>
        <w:ind w:left="5299"/>
        <w:jc w:val="right"/>
        <w:rPr>
          <w:rFonts w:hint="default" w:cs="宋体"/>
          <w:color w:val="auto"/>
          <w:highlight w:val="none"/>
        </w:rPr>
      </w:pPr>
      <w:r>
        <w:rPr>
          <w:rFonts w:cs="宋体"/>
          <w:color w:val="auto"/>
          <w:highlight w:val="none"/>
        </w:rPr>
        <w:t xml:space="preserve">年  月  </w:t>
      </w:r>
      <w:r>
        <w:rPr>
          <w:rFonts w:cs="宋体"/>
          <w:color w:val="auto"/>
          <w:szCs w:val="22"/>
          <w:highlight w:val="none"/>
        </w:rPr>
        <w:t>日</w:t>
      </w:r>
    </w:p>
    <w:p w14:paraId="68667BE7">
      <w:pPr>
        <w:pStyle w:val="12"/>
        <w:tabs>
          <w:tab w:val="left" w:pos="6691"/>
          <w:tab w:val="left" w:pos="7322"/>
        </w:tabs>
        <w:kinsoku w:val="0"/>
        <w:overflowPunct w:val="0"/>
        <w:spacing w:before="32" w:line="360" w:lineRule="auto"/>
        <w:ind w:left="6057"/>
        <w:rPr>
          <w:rFonts w:hint="default" w:cs="宋体"/>
          <w:color w:val="auto"/>
          <w:highlight w:val="none"/>
        </w:rPr>
        <w:sectPr>
          <w:type w:val="continuous"/>
          <w:pgSz w:w="11900" w:h="16840"/>
          <w:pgMar w:top="1440" w:right="1080" w:bottom="1440" w:left="1080" w:header="720" w:footer="720" w:gutter="0"/>
          <w:cols w:space="720" w:num="1"/>
        </w:sectPr>
      </w:pPr>
    </w:p>
    <w:p w14:paraId="6C0AA87E">
      <w:pPr>
        <w:spacing w:line="360" w:lineRule="auto"/>
        <w:rPr>
          <w:rFonts w:ascii="宋体" w:hAnsi="宋体" w:cs="宋体"/>
          <w:color w:val="auto"/>
          <w:highlight w:val="none"/>
        </w:rPr>
      </w:pPr>
      <w:bookmarkStart w:id="24" w:name="_Toc13853"/>
    </w:p>
    <w:p w14:paraId="769A0D40">
      <w:pPr>
        <w:spacing w:line="360" w:lineRule="auto"/>
        <w:rPr>
          <w:rFonts w:ascii="宋体" w:hAnsi="宋体" w:cs="宋体"/>
          <w:color w:val="auto"/>
          <w:highlight w:val="none"/>
        </w:rPr>
      </w:pPr>
    </w:p>
    <w:p w14:paraId="1935023E">
      <w:pPr>
        <w:spacing w:line="360" w:lineRule="auto"/>
        <w:rPr>
          <w:rFonts w:ascii="宋体" w:hAnsi="宋体" w:cs="宋体"/>
          <w:color w:val="auto"/>
          <w:highlight w:val="none"/>
        </w:rPr>
      </w:pPr>
    </w:p>
    <w:p w14:paraId="77EE4191">
      <w:pPr>
        <w:spacing w:line="360" w:lineRule="auto"/>
        <w:rPr>
          <w:rFonts w:ascii="宋体" w:hAnsi="宋体" w:cs="宋体"/>
          <w:color w:val="auto"/>
          <w:highlight w:val="none"/>
        </w:rPr>
      </w:pPr>
    </w:p>
    <w:p w14:paraId="56D44EAB">
      <w:pPr>
        <w:spacing w:line="360" w:lineRule="auto"/>
        <w:rPr>
          <w:rFonts w:ascii="宋体" w:hAnsi="宋体" w:cs="宋体"/>
          <w:color w:val="auto"/>
          <w:highlight w:val="none"/>
        </w:rPr>
      </w:pPr>
    </w:p>
    <w:p w14:paraId="67637C6D">
      <w:pPr>
        <w:spacing w:line="360" w:lineRule="auto"/>
        <w:rPr>
          <w:rFonts w:ascii="宋体" w:hAnsi="宋体" w:cs="宋体"/>
          <w:color w:val="auto"/>
          <w:highlight w:val="none"/>
        </w:rPr>
      </w:pPr>
    </w:p>
    <w:p w14:paraId="3BCC50E1">
      <w:pPr>
        <w:spacing w:line="360" w:lineRule="auto"/>
        <w:rPr>
          <w:rFonts w:ascii="宋体" w:hAnsi="宋体" w:cs="宋体"/>
          <w:color w:val="auto"/>
          <w:highlight w:val="none"/>
        </w:rPr>
      </w:pPr>
    </w:p>
    <w:p w14:paraId="788C29F3">
      <w:pPr>
        <w:spacing w:line="360" w:lineRule="auto"/>
        <w:rPr>
          <w:rFonts w:ascii="宋体" w:hAnsi="宋体" w:cs="宋体"/>
          <w:color w:val="auto"/>
          <w:highlight w:val="none"/>
        </w:rPr>
      </w:pPr>
    </w:p>
    <w:p w14:paraId="1C817B0E">
      <w:pPr>
        <w:spacing w:line="360" w:lineRule="auto"/>
        <w:rPr>
          <w:rFonts w:ascii="宋体" w:hAnsi="宋体" w:cs="宋体"/>
          <w:color w:val="auto"/>
          <w:highlight w:val="none"/>
        </w:rPr>
      </w:pPr>
    </w:p>
    <w:p w14:paraId="6FDA221F">
      <w:pPr>
        <w:spacing w:line="360" w:lineRule="auto"/>
        <w:rPr>
          <w:rFonts w:ascii="宋体" w:hAnsi="宋体" w:cs="宋体"/>
          <w:color w:val="auto"/>
          <w:highlight w:val="none"/>
        </w:rPr>
      </w:pPr>
    </w:p>
    <w:p w14:paraId="46DF1D40">
      <w:pPr>
        <w:spacing w:line="360" w:lineRule="auto"/>
        <w:rPr>
          <w:rFonts w:ascii="宋体" w:hAnsi="宋体" w:cs="宋体"/>
          <w:color w:val="auto"/>
          <w:highlight w:val="none"/>
        </w:rPr>
      </w:pPr>
    </w:p>
    <w:p w14:paraId="657B30AF">
      <w:pPr>
        <w:pStyle w:val="12"/>
        <w:tabs>
          <w:tab w:val="left" w:pos="4931"/>
        </w:tabs>
        <w:kinsoku w:val="0"/>
        <w:overflowPunct w:val="0"/>
        <w:spacing w:before="0" w:line="360" w:lineRule="auto"/>
        <w:ind w:left="2582"/>
        <w:outlineLvl w:val="0"/>
        <w:rPr>
          <w:rFonts w:hint="default" w:cs="宋体"/>
          <w:color w:val="auto"/>
          <w:sz w:val="52"/>
          <w:highlight w:val="none"/>
        </w:rPr>
        <w:sectPr>
          <w:pgSz w:w="11900" w:h="16840"/>
          <w:pgMar w:top="1440" w:right="1080" w:bottom="1440" w:left="1080" w:header="881" w:footer="894" w:gutter="0"/>
          <w:cols w:space="720" w:num="1"/>
        </w:sectPr>
      </w:pPr>
      <w:bookmarkStart w:id="25" w:name="_Toc8047"/>
      <w:r>
        <w:rPr>
          <w:rFonts w:cs="宋体"/>
          <w:b/>
          <w:color w:val="auto"/>
          <w:sz w:val="52"/>
          <w:highlight w:val="none"/>
        </w:rPr>
        <w:t>第三章  招选办法</w:t>
      </w:r>
      <w:bookmarkEnd w:id="24"/>
      <w:bookmarkEnd w:id="25"/>
    </w:p>
    <w:p w14:paraId="061CDA61">
      <w:pPr>
        <w:pStyle w:val="12"/>
        <w:kinsoku w:val="0"/>
        <w:overflowPunct w:val="0"/>
        <w:spacing w:before="14" w:line="360" w:lineRule="auto"/>
        <w:ind w:left="94" w:right="92"/>
        <w:jc w:val="center"/>
        <w:rPr>
          <w:rFonts w:hint="default" w:cs="宋体"/>
          <w:b/>
          <w:bCs/>
          <w:color w:val="auto"/>
          <w:sz w:val="28"/>
          <w:highlight w:val="none"/>
        </w:rPr>
      </w:pPr>
      <w:r>
        <w:rPr>
          <w:rFonts w:cs="宋体"/>
          <w:b/>
          <w:bCs/>
          <w:color w:val="auto"/>
          <w:sz w:val="28"/>
          <w:highlight w:val="none"/>
        </w:rPr>
        <w:t>一、招选办法前附表</w:t>
      </w:r>
    </w:p>
    <w:p w14:paraId="6EA23E79">
      <w:pPr>
        <w:pStyle w:val="12"/>
        <w:kinsoku w:val="0"/>
        <w:overflowPunct w:val="0"/>
        <w:spacing w:before="125" w:line="280" w:lineRule="exact"/>
        <w:ind w:left="153" w:right="143" w:firstLine="420"/>
        <w:jc w:val="both"/>
        <w:rPr>
          <w:rFonts w:hint="default" w:cs="宋体"/>
          <w:color w:val="auto"/>
          <w:sz w:val="24"/>
          <w:highlight w:val="none"/>
        </w:rPr>
      </w:pPr>
      <w:r>
        <w:rPr>
          <w:rFonts w:cs="宋体"/>
          <w:color w:val="auto"/>
          <w:highlight w:val="none"/>
        </w:rPr>
        <w:t>《招选办法前附表》用于进一步明确正文中的未尽事宜，由比选人根据本项目具体特点和实际需要编制和填写，与招选文件其他章节相衔接，并与本章正文内容不相抵触。前附表内容与正文不一致的，以前附表内容为准。《招选办法前附表》没有列明的因素和标准不得作为招选依据。</w:t>
      </w:r>
    </w:p>
    <w:tbl>
      <w:tblPr>
        <w:tblStyle w:val="21"/>
        <w:tblW w:w="9730" w:type="dxa"/>
        <w:jc w:val="center"/>
        <w:tblLayout w:type="fixed"/>
        <w:tblCellMar>
          <w:top w:w="0" w:type="dxa"/>
          <w:left w:w="10" w:type="dxa"/>
          <w:bottom w:w="0" w:type="dxa"/>
          <w:right w:w="10" w:type="dxa"/>
        </w:tblCellMar>
      </w:tblPr>
      <w:tblGrid>
        <w:gridCol w:w="821"/>
        <w:gridCol w:w="778"/>
        <w:gridCol w:w="1552"/>
        <w:gridCol w:w="6579"/>
      </w:tblGrid>
      <w:tr w14:paraId="6EE8731A">
        <w:tblPrEx>
          <w:tblCellMar>
            <w:top w:w="0" w:type="dxa"/>
            <w:left w:w="10" w:type="dxa"/>
            <w:bottom w:w="0" w:type="dxa"/>
            <w:right w:w="10" w:type="dxa"/>
          </w:tblCellMar>
        </w:tblPrEx>
        <w:trPr>
          <w:trHeight w:val="454" w:hRule="atLeast"/>
          <w:jc w:val="center"/>
        </w:trPr>
        <w:tc>
          <w:tcPr>
            <w:tcW w:w="1599" w:type="dxa"/>
            <w:gridSpan w:val="2"/>
            <w:tcBorders>
              <w:top w:val="single" w:color="auto" w:sz="4" w:space="0"/>
              <w:left w:val="single" w:color="auto" w:sz="4" w:space="0"/>
              <w:bottom w:val="single" w:color="auto" w:sz="4" w:space="0"/>
            </w:tcBorders>
            <w:shd w:val="clear" w:color="auto" w:fill="FFFFFF"/>
            <w:vAlign w:val="center"/>
          </w:tcPr>
          <w:p w14:paraId="227FBD2A">
            <w:pPr>
              <w:pStyle w:val="36"/>
              <w:spacing w:line="280" w:lineRule="exact"/>
              <w:jc w:val="center"/>
              <w:rPr>
                <w:color w:val="auto"/>
                <w:sz w:val="21"/>
                <w:szCs w:val="21"/>
                <w:highlight w:val="none"/>
              </w:rPr>
            </w:pPr>
            <w:r>
              <w:rPr>
                <w:rFonts w:hint="eastAsia"/>
                <w:color w:val="auto"/>
                <w:sz w:val="21"/>
                <w:szCs w:val="21"/>
                <w:highlight w:val="none"/>
              </w:rPr>
              <w:t>条款号</w:t>
            </w:r>
          </w:p>
        </w:tc>
        <w:tc>
          <w:tcPr>
            <w:tcW w:w="1552" w:type="dxa"/>
            <w:tcBorders>
              <w:top w:val="single" w:color="auto" w:sz="4" w:space="0"/>
              <w:left w:val="single" w:color="auto" w:sz="4" w:space="0"/>
              <w:bottom w:val="single" w:color="auto" w:sz="4" w:space="0"/>
            </w:tcBorders>
            <w:shd w:val="clear" w:color="auto" w:fill="FFFFFF"/>
            <w:vAlign w:val="center"/>
          </w:tcPr>
          <w:p w14:paraId="05622965">
            <w:pPr>
              <w:pStyle w:val="36"/>
              <w:spacing w:line="280" w:lineRule="exact"/>
              <w:ind w:firstLine="440"/>
              <w:jc w:val="center"/>
              <w:rPr>
                <w:color w:val="auto"/>
                <w:sz w:val="21"/>
                <w:szCs w:val="21"/>
                <w:highlight w:val="none"/>
              </w:rPr>
            </w:pPr>
            <w:r>
              <w:rPr>
                <w:rFonts w:hint="eastAsia"/>
                <w:color w:val="auto"/>
                <w:sz w:val="21"/>
                <w:szCs w:val="21"/>
                <w:highlight w:val="none"/>
              </w:rPr>
              <w:t>评审因素</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3D11CFF3">
            <w:pPr>
              <w:pStyle w:val="36"/>
              <w:spacing w:line="280" w:lineRule="exact"/>
              <w:jc w:val="center"/>
              <w:rPr>
                <w:color w:val="auto"/>
                <w:sz w:val="21"/>
                <w:szCs w:val="21"/>
                <w:highlight w:val="none"/>
              </w:rPr>
            </w:pPr>
            <w:r>
              <w:rPr>
                <w:rFonts w:hint="eastAsia"/>
                <w:color w:val="auto"/>
                <w:sz w:val="21"/>
                <w:szCs w:val="21"/>
                <w:highlight w:val="none"/>
              </w:rPr>
              <w:t>评审标准</w:t>
            </w:r>
          </w:p>
        </w:tc>
      </w:tr>
      <w:tr w14:paraId="6CB4E01E">
        <w:tblPrEx>
          <w:tblCellMar>
            <w:top w:w="0" w:type="dxa"/>
            <w:left w:w="10" w:type="dxa"/>
            <w:bottom w:w="0" w:type="dxa"/>
            <w:right w:w="10" w:type="dxa"/>
          </w:tblCellMar>
        </w:tblPrEx>
        <w:trPr>
          <w:trHeight w:val="454"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FFFFFF"/>
            <w:vAlign w:val="center"/>
          </w:tcPr>
          <w:p w14:paraId="63195EE7">
            <w:pPr>
              <w:pStyle w:val="36"/>
              <w:spacing w:line="280" w:lineRule="exact"/>
              <w:ind w:firstLine="160"/>
              <w:rPr>
                <w:color w:val="auto"/>
                <w:sz w:val="21"/>
                <w:szCs w:val="21"/>
                <w:highlight w:val="none"/>
                <w:lang w:eastAsia="en-US" w:bidi="en-US"/>
              </w:rPr>
            </w:pPr>
            <w:r>
              <w:rPr>
                <w:rFonts w:hint="eastAsia"/>
                <w:color w:val="auto"/>
                <w:sz w:val="21"/>
                <w:szCs w:val="21"/>
                <w:highlight w:val="none"/>
                <w:lang w:eastAsia="en-US" w:bidi="en-US"/>
              </w:rPr>
              <w:t>1</w:t>
            </w:r>
          </w:p>
        </w:tc>
        <w:tc>
          <w:tcPr>
            <w:tcW w:w="778" w:type="dxa"/>
            <w:tcBorders>
              <w:top w:val="single" w:color="auto" w:sz="4" w:space="0"/>
              <w:left w:val="single" w:color="auto" w:sz="4" w:space="0"/>
              <w:bottom w:val="single" w:color="auto" w:sz="4" w:space="0"/>
              <w:right w:val="single" w:color="auto" w:sz="4" w:space="0"/>
            </w:tcBorders>
            <w:shd w:val="clear" w:color="auto" w:fill="FFFFFF"/>
            <w:vAlign w:val="center"/>
          </w:tcPr>
          <w:p w14:paraId="226E9050">
            <w:pPr>
              <w:pStyle w:val="36"/>
              <w:spacing w:after="240" w:line="280" w:lineRule="exact"/>
              <w:jc w:val="center"/>
              <w:rPr>
                <w:color w:val="auto"/>
                <w:sz w:val="21"/>
                <w:szCs w:val="21"/>
                <w:highlight w:val="none"/>
              </w:rPr>
            </w:pPr>
            <w:r>
              <w:rPr>
                <w:rFonts w:hint="eastAsia"/>
                <w:color w:val="auto"/>
                <w:sz w:val="21"/>
                <w:szCs w:val="21"/>
                <w:highlight w:val="none"/>
                <w:lang w:eastAsia="zh-CN"/>
              </w:rPr>
              <w:t>招选</w:t>
            </w:r>
            <w:r>
              <w:rPr>
                <w:rFonts w:hint="eastAsia"/>
                <w:color w:val="auto"/>
                <w:sz w:val="21"/>
                <w:szCs w:val="21"/>
                <w:highlight w:val="none"/>
              </w:rPr>
              <w:t>方法</w:t>
            </w:r>
          </w:p>
        </w:tc>
        <w:tc>
          <w:tcPr>
            <w:tcW w:w="1552" w:type="dxa"/>
            <w:tcBorders>
              <w:top w:val="single" w:color="auto" w:sz="4" w:space="0"/>
              <w:left w:val="single" w:color="auto" w:sz="4" w:space="0"/>
              <w:bottom w:val="single" w:color="auto" w:sz="4" w:space="0"/>
              <w:right w:val="single" w:color="auto" w:sz="4" w:space="0"/>
            </w:tcBorders>
            <w:shd w:val="clear" w:color="auto" w:fill="FFFFFF"/>
            <w:vAlign w:val="center"/>
          </w:tcPr>
          <w:p w14:paraId="2EC776C3">
            <w:pPr>
              <w:pStyle w:val="36"/>
              <w:spacing w:line="280" w:lineRule="exact"/>
              <w:jc w:val="center"/>
              <w:rPr>
                <w:color w:val="auto"/>
                <w:sz w:val="21"/>
                <w:szCs w:val="21"/>
                <w:highlight w:val="none"/>
              </w:rPr>
            </w:pPr>
            <w:r>
              <w:rPr>
                <w:rFonts w:hint="eastAsia"/>
                <w:color w:val="auto"/>
                <w:sz w:val="21"/>
                <w:szCs w:val="21"/>
                <w:highlight w:val="none"/>
                <w:lang w:eastAsia="zh-CN"/>
              </w:rPr>
              <w:t>中选候选人</w:t>
            </w:r>
            <w:r>
              <w:rPr>
                <w:rFonts w:hint="eastAsia"/>
                <w:color w:val="auto"/>
                <w:sz w:val="21"/>
                <w:szCs w:val="21"/>
                <w:highlight w:val="none"/>
              </w:rPr>
              <w:t>排序方法</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60D09A6D">
            <w:pPr>
              <w:pStyle w:val="36"/>
              <w:spacing w:line="280" w:lineRule="exact"/>
              <w:jc w:val="both"/>
              <w:rPr>
                <w:color w:val="auto"/>
                <w:sz w:val="21"/>
                <w:szCs w:val="21"/>
                <w:highlight w:val="none"/>
              </w:rPr>
            </w:pPr>
            <w:r>
              <w:rPr>
                <w:rFonts w:hint="eastAsia"/>
                <w:color w:val="auto"/>
                <w:sz w:val="21"/>
                <w:szCs w:val="21"/>
                <w:highlight w:val="none"/>
              </w:rPr>
              <w:t>1）本次</w:t>
            </w:r>
            <w:r>
              <w:rPr>
                <w:rFonts w:hint="eastAsia"/>
                <w:color w:val="auto"/>
                <w:sz w:val="21"/>
                <w:szCs w:val="21"/>
                <w:highlight w:val="none"/>
                <w:lang w:eastAsia="zh-CN"/>
              </w:rPr>
              <w:t>招选</w:t>
            </w:r>
            <w:r>
              <w:rPr>
                <w:rFonts w:hint="eastAsia"/>
                <w:color w:val="auto"/>
                <w:sz w:val="21"/>
                <w:szCs w:val="21"/>
                <w:highlight w:val="none"/>
              </w:rPr>
              <w:t>办法采用</w:t>
            </w:r>
            <w:r>
              <w:rPr>
                <w:rFonts w:hint="eastAsia"/>
                <w:color w:val="auto"/>
                <w:sz w:val="21"/>
                <w:szCs w:val="21"/>
                <w:highlight w:val="none"/>
                <w:lang w:val="en-US" w:eastAsia="zh-CN"/>
              </w:rPr>
              <w:t>合理低价</w:t>
            </w:r>
            <w:r>
              <w:rPr>
                <w:rFonts w:hint="eastAsia"/>
                <w:color w:val="auto"/>
                <w:sz w:val="21"/>
                <w:szCs w:val="21"/>
                <w:highlight w:val="none"/>
                <w:lang w:val="en-US"/>
              </w:rPr>
              <w:t>法</w:t>
            </w:r>
            <w:r>
              <w:rPr>
                <w:rFonts w:hint="eastAsia"/>
                <w:color w:val="auto"/>
                <w:sz w:val="21"/>
                <w:szCs w:val="21"/>
                <w:highlight w:val="none"/>
                <w:lang w:val="en-US" w:eastAsia="zh-CN"/>
              </w:rPr>
              <w:t>，</w:t>
            </w:r>
            <w:r>
              <w:rPr>
                <w:rFonts w:hint="eastAsia"/>
                <w:color w:val="auto"/>
                <w:sz w:val="21"/>
                <w:szCs w:val="21"/>
                <w:highlight w:val="none"/>
                <w:lang w:eastAsia="zh-CN"/>
              </w:rPr>
              <w:t>招选委员会</w:t>
            </w:r>
            <w:r>
              <w:rPr>
                <w:rFonts w:hint="eastAsia"/>
                <w:color w:val="auto"/>
                <w:sz w:val="21"/>
                <w:szCs w:val="21"/>
                <w:highlight w:val="none"/>
              </w:rPr>
              <w:t>依次按照以下顺序推荐</w:t>
            </w:r>
            <w:r>
              <w:rPr>
                <w:rFonts w:hint="eastAsia"/>
                <w:color w:val="auto"/>
                <w:sz w:val="21"/>
                <w:szCs w:val="21"/>
                <w:highlight w:val="none"/>
                <w:lang w:eastAsia="zh-CN"/>
              </w:rPr>
              <w:t>中选候选人</w:t>
            </w:r>
            <w:r>
              <w:rPr>
                <w:rFonts w:hint="eastAsia"/>
                <w:color w:val="auto"/>
                <w:sz w:val="21"/>
                <w:szCs w:val="21"/>
                <w:highlight w:val="none"/>
              </w:rPr>
              <w:t>：</w:t>
            </w:r>
          </w:p>
          <w:p w14:paraId="6322B212">
            <w:pPr>
              <w:pStyle w:val="36"/>
              <w:spacing w:line="280" w:lineRule="exact"/>
              <w:jc w:val="both"/>
              <w:rPr>
                <w:color w:val="auto"/>
                <w:sz w:val="21"/>
                <w:szCs w:val="21"/>
                <w:highlight w:val="none"/>
              </w:rPr>
            </w:pPr>
            <w:r>
              <w:rPr>
                <w:rFonts w:hint="eastAsia"/>
                <w:color w:val="auto"/>
                <w:sz w:val="21"/>
                <w:szCs w:val="21"/>
                <w:highlight w:val="none"/>
                <w:lang w:val="en-US"/>
              </w:rPr>
              <w:t>①</w:t>
            </w:r>
            <w:r>
              <w:rPr>
                <w:rFonts w:hint="eastAsia"/>
                <w:color w:val="auto"/>
                <w:sz w:val="21"/>
                <w:szCs w:val="21"/>
                <w:highlight w:val="none"/>
              </w:rPr>
              <w:t>以投标报价低的优先；</w:t>
            </w:r>
          </w:p>
          <w:p w14:paraId="55BC18F0">
            <w:pPr>
              <w:kinsoku/>
              <w:spacing w:line="360" w:lineRule="exact"/>
              <w:jc w:val="both"/>
              <w:rPr>
                <w:color w:val="auto"/>
                <w:sz w:val="21"/>
                <w:szCs w:val="21"/>
                <w:highlight w:val="none"/>
              </w:rPr>
            </w:pPr>
            <w:r>
              <w:rPr>
                <w:rFonts w:hint="eastAsia"/>
                <w:color w:val="auto"/>
                <w:sz w:val="21"/>
                <w:szCs w:val="21"/>
                <w:highlight w:val="none"/>
                <w:lang w:val="en-US"/>
              </w:rPr>
              <w:t>②</w:t>
            </w:r>
            <w:r>
              <w:rPr>
                <w:rFonts w:hint="eastAsia" w:ascii="宋体" w:hAnsi="宋体" w:eastAsia="宋体" w:cs="宋体"/>
                <w:color w:val="auto"/>
                <w:sz w:val="20"/>
                <w:szCs w:val="20"/>
                <w:highlight w:val="none"/>
              </w:rPr>
              <w:t>通过资格审查的业绩个数多的优先</w:t>
            </w:r>
            <w:r>
              <w:rPr>
                <w:rFonts w:hint="eastAsia"/>
                <w:color w:val="auto"/>
                <w:sz w:val="21"/>
                <w:szCs w:val="21"/>
                <w:highlight w:val="none"/>
              </w:rPr>
              <w:t>。</w:t>
            </w:r>
          </w:p>
          <w:p w14:paraId="156A49CB">
            <w:pPr>
              <w:pStyle w:val="36"/>
              <w:spacing w:line="280" w:lineRule="exact"/>
              <w:jc w:val="both"/>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2</w:t>
            </w:r>
            <w:r>
              <w:rPr>
                <w:rFonts w:hint="eastAsia"/>
                <w:color w:val="auto"/>
                <w:sz w:val="21"/>
                <w:szCs w:val="21"/>
                <w:highlight w:val="none"/>
              </w:rPr>
              <w:t>）</w:t>
            </w:r>
            <w:r>
              <w:rPr>
                <w:rFonts w:hint="eastAsia"/>
                <w:color w:val="auto"/>
                <w:sz w:val="21"/>
                <w:szCs w:val="21"/>
                <w:highlight w:val="none"/>
                <w:lang w:eastAsia="zh-CN"/>
              </w:rPr>
              <w:t>招选委员会</w:t>
            </w:r>
            <w:r>
              <w:rPr>
                <w:rFonts w:hint="eastAsia"/>
                <w:color w:val="auto"/>
                <w:sz w:val="21"/>
                <w:szCs w:val="21"/>
                <w:highlight w:val="none"/>
              </w:rPr>
              <w:t>最终推荐 3 名</w:t>
            </w:r>
            <w:r>
              <w:rPr>
                <w:rFonts w:hint="eastAsia"/>
                <w:color w:val="auto"/>
                <w:sz w:val="21"/>
                <w:szCs w:val="21"/>
                <w:highlight w:val="none"/>
                <w:lang w:eastAsia="zh-CN"/>
              </w:rPr>
              <w:t>中选候选人</w:t>
            </w:r>
            <w:r>
              <w:rPr>
                <w:rFonts w:hint="eastAsia"/>
                <w:color w:val="auto"/>
                <w:sz w:val="21"/>
                <w:szCs w:val="21"/>
                <w:highlight w:val="none"/>
              </w:rPr>
              <w:t>（若不足 3 名，则按实际数量推荐）。</w:t>
            </w:r>
          </w:p>
          <w:p w14:paraId="49D41630">
            <w:pPr>
              <w:pStyle w:val="36"/>
              <w:spacing w:line="280" w:lineRule="exact"/>
              <w:jc w:val="both"/>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w:t>
            </w:r>
            <w:r>
              <w:rPr>
                <w:rFonts w:hint="eastAsia"/>
                <w:color w:val="auto"/>
                <w:sz w:val="21"/>
                <w:szCs w:val="21"/>
                <w:highlight w:val="none"/>
                <w:lang w:eastAsia="zh-CN"/>
              </w:rPr>
              <w:t>招选委员会</w:t>
            </w:r>
            <w:r>
              <w:rPr>
                <w:rFonts w:hint="eastAsia"/>
                <w:color w:val="auto"/>
                <w:sz w:val="21"/>
                <w:szCs w:val="21"/>
                <w:highlight w:val="none"/>
              </w:rPr>
              <w:t>对</w:t>
            </w:r>
            <w:r>
              <w:rPr>
                <w:rFonts w:hint="eastAsia"/>
                <w:color w:val="auto"/>
                <w:sz w:val="21"/>
                <w:szCs w:val="21"/>
                <w:highlight w:val="none"/>
                <w:lang w:val="en-US" w:eastAsia="zh-CN"/>
              </w:rPr>
              <w:t>比选</w:t>
            </w:r>
            <w:r>
              <w:rPr>
                <w:rFonts w:hint="eastAsia"/>
                <w:color w:val="auto"/>
                <w:sz w:val="21"/>
                <w:szCs w:val="21"/>
                <w:highlight w:val="none"/>
              </w:rPr>
              <w:t>文件进行评审后，因有效投标不足3个，</w:t>
            </w:r>
            <w:r>
              <w:rPr>
                <w:rFonts w:hint="eastAsia"/>
                <w:color w:val="auto"/>
                <w:sz w:val="21"/>
                <w:szCs w:val="21"/>
                <w:highlight w:val="none"/>
                <w:lang w:eastAsia="zh-CN"/>
              </w:rPr>
              <w:t>招选委员会</w:t>
            </w:r>
            <w:r>
              <w:rPr>
                <w:rFonts w:hint="eastAsia"/>
                <w:color w:val="auto"/>
                <w:sz w:val="21"/>
                <w:szCs w:val="21"/>
                <w:highlight w:val="none"/>
              </w:rPr>
              <w:t>应当对有效投标是否具有竞争性进行评审。</w:t>
            </w:r>
            <w:r>
              <w:rPr>
                <w:rFonts w:hint="eastAsia"/>
                <w:color w:val="auto"/>
                <w:sz w:val="21"/>
                <w:szCs w:val="21"/>
                <w:highlight w:val="none"/>
                <w:lang w:eastAsia="zh-CN"/>
              </w:rPr>
              <w:t>招选委员会</w:t>
            </w:r>
            <w:r>
              <w:rPr>
                <w:rFonts w:hint="eastAsia"/>
                <w:color w:val="auto"/>
                <w:sz w:val="21"/>
                <w:szCs w:val="21"/>
                <w:highlight w:val="none"/>
              </w:rPr>
              <w:t>一致认为有效投标仍具有竞争性的，可继续开展</w:t>
            </w:r>
            <w:r>
              <w:rPr>
                <w:rFonts w:hint="eastAsia"/>
                <w:color w:val="auto"/>
                <w:sz w:val="21"/>
                <w:szCs w:val="21"/>
                <w:highlight w:val="none"/>
                <w:lang w:eastAsia="zh-CN"/>
              </w:rPr>
              <w:t>招选</w:t>
            </w:r>
            <w:r>
              <w:rPr>
                <w:rFonts w:hint="eastAsia"/>
                <w:color w:val="auto"/>
                <w:sz w:val="21"/>
                <w:szCs w:val="21"/>
                <w:highlight w:val="none"/>
              </w:rPr>
              <w:t>，并应当在</w:t>
            </w:r>
            <w:r>
              <w:rPr>
                <w:rFonts w:hint="eastAsia"/>
                <w:color w:val="auto"/>
                <w:sz w:val="21"/>
                <w:szCs w:val="21"/>
                <w:highlight w:val="none"/>
                <w:lang w:eastAsia="zh-CN"/>
              </w:rPr>
              <w:t>招选</w:t>
            </w:r>
            <w:r>
              <w:rPr>
                <w:rFonts w:hint="eastAsia"/>
                <w:color w:val="auto"/>
                <w:sz w:val="21"/>
                <w:szCs w:val="21"/>
                <w:highlight w:val="none"/>
              </w:rPr>
              <w:t>报告中阐明理由并推荐</w:t>
            </w:r>
            <w:r>
              <w:rPr>
                <w:rFonts w:hint="eastAsia"/>
                <w:color w:val="auto"/>
                <w:sz w:val="21"/>
                <w:szCs w:val="21"/>
                <w:highlight w:val="none"/>
                <w:lang w:eastAsia="zh-CN"/>
              </w:rPr>
              <w:t>中选候选人</w:t>
            </w:r>
            <w:r>
              <w:rPr>
                <w:rFonts w:hint="eastAsia"/>
                <w:color w:val="auto"/>
                <w:sz w:val="21"/>
                <w:szCs w:val="21"/>
                <w:highlight w:val="none"/>
              </w:rPr>
              <w:t>。</w:t>
            </w:r>
            <w:r>
              <w:rPr>
                <w:rFonts w:hint="eastAsia"/>
                <w:color w:val="auto"/>
                <w:sz w:val="21"/>
                <w:szCs w:val="21"/>
                <w:highlight w:val="none"/>
                <w:lang w:eastAsia="zh-CN"/>
              </w:rPr>
              <w:t>招选委员会</w:t>
            </w:r>
            <w:r>
              <w:rPr>
                <w:rFonts w:hint="eastAsia"/>
                <w:color w:val="auto"/>
                <w:sz w:val="21"/>
                <w:szCs w:val="21"/>
                <w:highlight w:val="none"/>
              </w:rPr>
              <w:t>对有效投标是否具有竞争性无法达成一致意见的，应当否决全部</w:t>
            </w:r>
            <w:r>
              <w:rPr>
                <w:rFonts w:hint="eastAsia"/>
                <w:color w:val="auto"/>
                <w:sz w:val="21"/>
                <w:szCs w:val="21"/>
                <w:highlight w:val="none"/>
                <w:lang w:val="en-US" w:eastAsia="zh-CN"/>
              </w:rPr>
              <w:t>比选</w:t>
            </w:r>
            <w:r>
              <w:rPr>
                <w:rFonts w:hint="eastAsia"/>
                <w:color w:val="auto"/>
                <w:sz w:val="21"/>
                <w:szCs w:val="21"/>
                <w:highlight w:val="none"/>
              </w:rPr>
              <w:t>，并在</w:t>
            </w:r>
            <w:r>
              <w:rPr>
                <w:rFonts w:hint="eastAsia"/>
                <w:color w:val="auto"/>
                <w:sz w:val="21"/>
                <w:szCs w:val="21"/>
                <w:highlight w:val="none"/>
                <w:lang w:eastAsia="zh-CN"/>
              </w:rPr>
              <w:t>招选</w:t>
            </w:r>
            <w:r>
              <w:rPr>
                <w:rFonts w:hint="eastAsia"/>
                <w:color w:val="auto"/>
                <w:sz w:val="21"/>
                <w:szCs w:val="21"/>
                <w:highlight w:val="none"/>
              </w:rPr>
              <w:t>报告中作出说明。</w:t>
            </w:r>
          </w:p>
        </w:tc>
      </w:tr>
      <w:tr w14:paraId="7F46BD3F">
        <w:tblPrEx>
          <w:tblCellMar>
            <w:top w:w="0" w:type="dxa"/>
            <w:left w:w="10" w:type="dxa"/>
            <w:bottom w:w="0" w:type="dxa"/>
            <w:right w:w="10" w:type="dxa"/>
          </w:tblCellMar>
        </w:tblPrEx>
        <w:trPr>
          <w:trHeight w:val="454" w:hRule="atLeast"/>
          <w:jc w:val="center"/>
        </w:trPr>
        <w:tc>
          <w:tcPr>
            <w:tcW w:w="82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48239E9">
            <w:pPr>
              <w:pStyle w:val="36"/>
              <w:spacing w:line="280" w:lineRule="exact"/>
              <w:ind w:firstLine="160"/>
              <w:rPr>
                <w:color w:val="auto"/>
                <w:sz w:val="21"/>
                <w:szCs w:val="21"/>
                <w:highlight w:val="none"/>
              </w:rPr>
            </w:pPr>
            <w:r>
              <w:rPr>
                <w:rFonts w:hint="eastAsia"/>
                <w:color w:val="auto"/>
                <w:sz w:val="21"/>
                <w:szCs w:val="21"/>
                <w:highlight w:val="none"/>
                <w:lang w:val="en-US" w:eastAsia="zh-CN" w:bidi="en-US"/>
              </w:rPr>
              <w:t>1</w:t>
            </w:r>
            <w:r>
              <w:rPr>
                <w:rFonts w:hint="eastAsia"/>
                <w:color w:val="auto"/>
                <w:sz w:val="21"/>
                <w:szCs w:val="21"/>
                <w:highlight w:val="none"/>
                <w:lang w:val="en-US" w:eastAsia="en-US" w:bidi="en-US"/>
              </w:rPr>
              <w:t>.1.</w:t>
            </w:r>
            <w:r>
              <w:rPr>
                <w:rFonts w:hint="eastAsia"/>
                <w:color w:val="auto"/>
                <w:sz w:val="21"/>
                <w:szCs w:val="21"/>
                <w:highlight w:val="none"/>
              </w:rPr>
              <w:t>1</w:t>
            </w:r>
          </w:p>
        </w:tc>
        <w:tc>
          <w:tcPr>
            <w:tcW w:w="77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F279597">
            <w:pPr>
              <w:pStyle w:val="36"/>
              <w:spacing w:after="240" w:line="280" w:lineRule="exact"/>
              <w:jc w:val="center"/>
              <w:rPr>
                <w:color w:val="auto"/>
                <w:sz w:val="21"/>
                <w:szCs w:val="21"/>
                <w:highlight w:val="none"/>
              </w:rPr>
            </w:pPr>
            <w:r>
              <w:rPr>
                <w:rFonts w:hint="eastAsia"/>
                <w:color w:val="auto"/>
                <w:sz w:val="21"/>
                <w:szCs w:val="21"/>
                <w:highlight w:val="none"/>
              </w:rPr>
              <w:t>形式评审标准</w:t>
            </w:r>
          </w:p>
        </w:tc>
        <w:tc>
          <w:tcPr>
            <w:tcW w:w="1552" w:type="dxa"/>
            <w:tcBorders>
              <w:top w:val="single" w:color="auto" w:sz="4" w:space="0"/>
              <w:left w:val="single" w:color="auto" w:sz="4" w:space="0"/>
              <w:bottom w:val="single" w:color="auto" w:sz="4" w:space="0"/>
              <w:right w:val="single" w:color="auto" w:sz="4" w:space="0"/>
            </w:tcBorders>
            <w:shd w:val="clear" w:color="auto" w:fill="FFFFFF"/>
            <w:vAlign w:val="center"/>
          </w:tcPr>
          <w:p w14:paraId="6B0C1DF2">
            <w:pPr>
              <w:pStyle w:val="36"/>
              <w:spacing w:line="280" w:lineRule="exact"/>
              <w:jc w:val="center"/>
              <w:rPr>
                <w:color w:val="auto"/>
                <w:sz w:val="21"/>
                <w:szCs w:val="21"/>
                <w:highlight w:val="none"/>
              </w:rPr>
            </w:pPr>
            <w:r>
              <w:rPr>
                <w:rFonts w:hint="eastAsia"/>
                <w:color w:val="auto"/>
                <w:sz w:val="21"/>
                <w:szCs w:val="21"/>
                <w:highlight w:val="none"/>
                <w:lang w:eastAsia="zh-CN"/>
              </w:rPr>
              <w:t>比选人</w:t>
            </w:r>
            <w:r>
              <w:rPr>
                <w:rFonts w:hint="eastAsia"/>
                <w:color w:val="auto"/>
                <w:sz w:val="21"/>
                <w:szCs w:val="21"/>
                <w:highlight w:val="none"/>
              </w:rPr>
              <w:t>名称</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120BAB45">
            <w:pPr>
              <w:pStyle w:val="36"/>
              <w:spacing w:line="280" w:lineRule="exact"/>
              <w:jc w:val="both"/>
              <w:rPr>
                <w:color w:val="auto"/>
                <w:sz w:val="21"/>
                <w:szCs w:val="21"/>
                <w:highlight w:val="none"/>
              </w:rPr>
            </w:pPr>
            <w:r>
              <w:rPr>
                <w:rFonts w:hint="eastAsia"/>
                <w:color w:val="auto"/>
                <w:sz w:val="21"/>
                <w:szCs w:val="21"/>
                <w:highlight w:val="none"/>
              </w:rPr>
              <w:t>与营业执照一致</w:t>
            </w:r>
          </w:p>
        </w:tc>
      </w:tr>
      <w:tr w14:paraId="4957A4C1">
        <w:tblPrEx>
          <w:tblCellMar>
            <w:top w:w="0" w:type="dxa"/>
            <w:left w:w="10" w:type="dxa"/>
            <w:bottom w:w="0" w:type="dxa"/>
            <w:right w:w="10" w:type="dxa"/>
          </w:tblCellMar>
        </w:tblPrEx>
        <w:trPr>
          <w:trHeight w:val="454"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814EF1F">
            <w:pPr>
              <w:spacing w:line="280" w:lineRule="exact"/>
              <w:rPr>
                <w:rFonts w:ascii="宋体" w:hAnsi="宋体" w:cs="宋体"/>
                <w:color w:val="auto"/>
                <w:sz w:val="21"/>
                <w:szCs w:val="21"/>
                <w:highlight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E4484E1">
            <w:pPr>
              <w:spacing w:line="280" w:lineRule="exact"/>
              <w:rPr>
                <w:rFonts w:ascii="宋体" w:hAnsi="宋体" w:cs="宋体"/>
                <w:color w:val="auto"/>
                <w:sz w:val="21"/>
                <w:szCs w:val="21"/>
                <w:highlight w:val="none"/>
              </w:rPr>
            </w:pPr>
          </w:p>
        </w:tc>
        <w:tc>
          <w:tcPr>
            <w:tcW w:w="1552" w:type="dxa"/>
            <w:tcBorders>
              <w:top w:val="single" w:color="auto" w:sz="4" w:space="0"/>
              <w:left w:val="single" w:color="auto" w:sz="4" w:space="0"/>
              <w:bottom w:val="single" w:color="auto" w:sz="4" w:space="0"/>
              <w:right w:val="single" w:color="auto" w:sz="4" w:space="0"/>
            </w:tcBorders>
            <w:shd w:val="clear" w:color="auto" w:fill="FFFFFF"/>
            <w:vAlign w:val="center"/>
          </w:tcPr>
          <w:p w14:paraId="0279D1FE">
            <w:pPr>
              <w:pStyle w:val="36"/>
              <w:spacing w:line="280" w:lineRule="exact"/>
              <w:jc w:val="center"/>
              <w:rPr>
                <w:color w:val="auto"/>
                <w:sz w:val="21"/>
                <w:szCs w:val="21"/>
                <w:highlight w:val="none"/>
              </w:rPr>
            </w:pPr>
            <w:r>
              <w:rPr>
                <w:rFonts w:hint="eastAsia"/>
                <w:color w:val="auto"/>
                <w:sz w:val="21"/>
                <w:szCs w:val="21"/>
                <w:highlight w:val="none"/>
              </w:rPr>
              <w:t>签字、盖章</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10CCDE58">
            <w:pPr>
              <w:pStyle w:val="36"/>
              <w:spacing w:line="280" w:lineRule="exact"/>
              <w:jc w:val="both"/>
              <w:rPr>
                <w:color w:val="auto"/>
                <w:sz w:val="21"/>
                <w:szCs w:val="21"/>
                <w:highlight w:val="none"/>
              </w:rPr>
            </w:pPr>
            <w:r>
              <w:rPr>
                <w:rFonts w:hint="eastAsia"/>
                <w:color w:val="auto"/>
                <w:sz w:val="21"/>
                <w:szCs w:val="21"/>
                <w:highlight w:val="none"/>
              </w:rPr>
              <w:t>符合第二章</w:t>
            </w:r>
            <w:r>
              <w:rPr>
                <w:rFonts w:hint="eastAsia"/>
                <w:color w:val="auto"/>
                <w:sz w:val="21"/>
                <w:szCs w:val="21"/>
                <w:highlight w:val="none"/>
                <w:lang w:val="zh-CN" w:eastAsia="zh-CN" w:bidi="zh-CN"/>
              </w:rPr>
              <w:t>“比选人</w:t>
            </w:r>
            <w:r>
              <w:rPr>
                <w:rFonts w:hint="eastAsia"/>
                <w:color w:val="auto"/>
                <w:sz w:val="21"/>
                <w:szCs w:val="21"/>
                <w:highlight w:val="none"/>
              </w:rPr>
              <w:t>须知</w:t>
            </w:r>
            <w:r>
              <w:rPr>
                <w:rFonts w:hint="eastAsia"/>
                <w:color w:val="auto"/>
                <w:sz w:val="21"/>
                <w:szCs w:val="21"/>
                <w:highlight w:val="none"/>
                <w:lang w:eastAsia="zh-CN"/>
              </w:rPr>
              <w:t>前附表</w:t>
            </w:r>
            <w:r>
              <w:rPr>
                <w:rFonts w:hint="eastAsia"/>
                <w:color w:val="auto"/>
                <w:sz w:val="21"/>
                <w:szCs w:val="21"/>
                <w:highlight w:val="none"/>
              </w:rPr>
              <w:t>”第</w:t>
            </w:r>
            <w:r>
              <w:rPr>
                <w:rFonts w:hint="eastAsia"/>
                <w:color w:val="auto"/>
                <w:sz w:val="21"/>
                <w:szCs w:val="21"/>
                <w:highlight w:val="none"/>
                <w:lang w:val="en-US" w:eastAsia="zh-CN" w:bidi="en-US"/>
              </w:rPr>
              <w:t>3.7.3</w:t>
            </w:r>
            <w:r>
              <w:rPr>
                <w:rFonts w:hint="eastAsia"/>
                <w:color w:val="auto"/>
                <w:sz w:val="21"/>
                <w:szCs w:val="21"/>
                <w:highlight w:val="none"/>
              </w:rPr>
              <w:t>项要求</w:t>
            </w:r>
          </w:p>
        </w:tc>
      </w:tr>
      <w:tr w14:paraId="0A4109BB">
        <w:tblPrEx>
          <w:tblCellMar>
            <w:top w:w="0" w:type="dxa"/>
            <w:left w:w="10" w:type="dxa"/>
            <w:bottom w:w="0" w:type="dxa"/>
            <w:right w:w="10" w:type="dxa"/>
          </w:tblCellMar>
        </w:tblPrEx>
        <w:trPr>
          <w:trHeight w:val="454"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57DB2FE">
            <w:pPr>
              <w:pStyle w:val="36"/>
              <w:spacing w:line="280" w:lineRule="exact"/>
              <w:ind w:firstLine="340"/>
              <w:rPr>
                <w:color w:val="auto"/>
                <w:sz w:val="21"/>
                <w:szCs w:val="21"/>
                <w:highlight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FDDEA0E">
            <w:pPr>
              <w:pStyle w:val="36"/>
              <w:spacing w:line="280" w:lineRule="exact"/>
              <w:ind w:firstLine="340"/>
              <w:rPr>
                <w:color w:val="auto"/>
                <w:sz w:val="21"/>
                <w:szCs w:val="21"/>
                <w:highlight w:val="none"/>
              </w:rPr>
            </w:pPr>
          </w:p>
        </w:tc>
        <w:tc>
          <w:tcPr>
            <w:tcW w:w="1552" w:type="dxa"/>
            <w:tcBorders>
              <w:top w:val="single" w:color="auto" w:sz="4" w:space="0"/>
              <w:left w:val="single" w:color="auto" w:sz="4" w:space="0"/>
              <w:bottom w:val="single" w:color="auto" w:sz="4" w:space="0"/>
              <w:right w:val="single" w:color="auto" w:sz="4" w:space="0"/>
            </w:tcBorders>
            <w:shd w:val="clear" w:color="auto" w:fill="FFFFFF"/>
            <w:vAlign w:val="center"/>
          </w:tcPr>
          <w:p w14:paraId="36CCF855">
            <w:pPr>
              <w:pStyle w:val="36"/>
              <w:spacing w:line="280" w:lineRule="exact"/>
              <w:jc w:val="center"/>
              <w:rPr>
                <w:color w:val="auto"/>
                <w:sz w:val="21"/>
                <w:szCs w:val="21"/>
                <w:highlight w:val="none"/>
              </w:rPr>
            </w:pPr>
            <w:r>
              <w:rPr>
                <w:rFonts w:hint="eastAsia"/>
                <w:color w:val="auto"/>
                <w:sz w:val="21"/>
                <w:szCs w:val="21"/>
                <w:highlight w:val="none"/>
              </w:rPr>
              <w:t>报价唯一</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195CB06E">
            <w:pPr>
              <w:pStyle w:val="36"/>
              <w:spacing w:line="280" w:lineRule="exact"/>
              <w:rPr>
                <w:color w:val="auto"/>
                <w:sz w:val="21"/>
                <w:szCs w:val="21"/>
                <w:highlight w:val="none"/>
              </w:rPr>
            </w:pPr>
            <w:r>
              <w:rPr>
                <w:rFonts w:hint="eastAsia"/>
                <w:color w:val="auto"/>
                <w:sz w:val="21"/>
                <w:szCs w:val="21"/>
                <w:highlight w:val="none"/>
              </w:rPr>
              <w:t>只能有一个有效报价，即符合第二章</w:t>
            </w:r>
            <w:r>
              <w:rPr>
                <w:rFonts w:hint="eastAsia"/>
                <w:color w:val="auto"/>
                <w:sz w:val="21"/>
                <w:szCs w:val="21"/>
                <w:highlight w:val="none"/>
                <w:lang w:val="zh-CN" w:eastAsia="zh-CN"/>
              </w:rPr>
              <w:t>“比选人</w:t>
            </w:r>
            <w:r>
              <w:rPr>
                <w:rFonts w:hint="eastAsia"/>
                <w:color w:val="auto"/>
                <w:sz w:val="21"/>
                <w:szCs w:val="21"/>
                <w:highlight w:val="none"/>
              </w:rPr>
              <w:t>须知</w:t>
            </w:r>
            <w:r>
              <w:rPr>
                <w:rFonts w:hint="eastAsia"/>
                <w:color w:val="auto"/>
                <w:sz w:val="21"/>
                <w:szCs w:val="21"/>
                <w:highlight w:val="none"/>
                <w:lang w:eastAsia="zh-CN"/>
              </w:rPr>
              <w:t>前附表</w:t>
            </w:r>
            <w:r>
              <w:rPr>
                <w:rFonts w:hint="eastAsia"/>
                <w:color w:val="auto"/>
                <w:sz w:val="21"/>
                <w:szCs w:val="21"/>
                <w:highlight w:val="none"/>
              </w:rPr>
              <w:t>”第</w:t>
            </w:r>
            <w:r>
              <w:rPr>
                <w:rFonts w:hint="eastAsia"/>
                <w:color w:val="auto"/>
                <w:sz w:val="21"/>
                <w:szCs w:val="21"/>
                <w:highlight w:val="none"/>
                <w:lang w:val="en-US" w:eastAsia="zh-CN"/>
              </w:rPr>
              <w:t>3.6.1</w:t>
            </w:r>
            <w:r>
              <w:rPr>
                <w:rFonts w:hint="eastAsia"/>
                <w:color w:val="auto"/>
                <w:sz w:val="21"/>
                <w:szCs w:val="21"/>
                <w:highlight w:val="none"/>
              </w:rPr>
              <w:t>款要求</w:t>
            </w:r>
          </w:p>
        </w:tc>
      </w:tr>
      <w:tr w14:paraId="3FA2DF43">
        <w:tblPrEx>
          <w:tblCellMar>
            <w:top w:w="0" w:type="dxa"/>
            <w:left w:w="10" w:type="dxa"/>
            <w:bottom w:w="0" w:type="dxa"/>
            <w:right w:w="10" w:type="dxa"/>
          </w:tblCellMar>
        </w:tblPrEx>
        <w:trPr>
          <w:trHeight w:val="454" w:hRule="atLeast"/>
          <w:jc w:val="center"/>
        </w:trPr>
        <w:tc>
          <w:tcPr>
            <w:tcW w:w="973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2F10C9D">
            <w:pPr>
              <w:pStyle w:val="36"/>
              <w:spacing w:line="280" w:lineRule="exact"/>
              <w:rPr>
                <w:color w:val="auto"/>
                <w:sz w:val="21"/>
                <w:szCs w:val="21"/>
                <w:highlight w:val="none"/>
              </w:rPr>
            </w:pPr>
            <w:r>
              <w:rPr>
                <w:rFonts w:hint="eastAsia"/>
                <w:color w:val="auto"/>
                <w:sz w:val="21"/>
                <w:szCs w:val="21"/>
                <w:highlight w:val="none"/>
              </w:rPr>
              <w:t>以上评审有一条不通过，则视为形式评审标准不通过，不进入下一步评审，其</w:t>
            </w:r>
            <w:r>
              <w:rPr>
                <w:rFonts w:hint="eastAsia"/>
                <w:color w:val="auto"/>
                <w:sz w:val="21"/>
                <w:szCs w:val="21"/>
                <w:highlight w:val="none"/>
                <w:lang w:eastAsia="zh-CN"/>
              </w:rPr>
              <w:t>比选</w:t>
            </w:r>
            <w:r>
              <w:rPr>
                <w:rFonts w:hint="eastAsia"/>
                <w:color w:val="auto"/>
                <w:sz w:val="21"/>
                <w:szCs w:val="21"/>
                <w:highlight w:val="none"/>
              </w:rPr>
              <w:t>予以否决。</w:t>
            </w:r>
          </w:p>
        </w:tc>
      </w:tr>
      <w:tr w14:paraId="38D0DDB5">
        <w:tblPrEx>
          <w:tblCellMar>
            <w:top w:w="0" w:type="dxa"/>
            <w:left w:w="10" w:type="dxa"/>
            <w:bottom w:w="0" w:type="dxa"/>
            <w:right w:w="10" w:type="dxa"/>
          </w:tblCellMar>
        </w:tblPrEx>
        <w:trPr>
          <w:trHeight w:val="454" w:hRule="atLeast"/>
          <w:jc w:val="center"/>
        </w:trPr>
        <w:tc>
          <w:tcPr>
            <w:tcW w:w="82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028054C">
            <w:pPr>
              <w:pStyle w:val="36"/>
              <w:spacing w:line="280" w:lineRule="exact"/>
              <w:ind w:firstLine="160"/>
              <w:rPr>
                <w:color w:val="auto"/>
                <w:sz w:val="21"/>
                <w:szCs w:val="21"/>
                <w:highlight w:val="none"/>
              </w:rPr>
            </w:pPr>
            <w:r>
              <w:rPr>
                <w:rFonts w:hint="eastAsia"/>
                <w:color w:val="auto"/>
                <w:sz w:val="21"/>
                <w:szCs w:val="21"/>
                <w:highlight w:val="none"/>
                <w:lang w:val="en-US" w:eastAsia="zh-CN" w:bidi="en-US"/>
              </w:rPr>
              <w:t>1</w:t>
            </w:r>
            <w:r>
              <w:rPr>
                <w:rFonts w:hint="eastAsia"/>
                <w:color w:val="auto"/>
                <w:sz w:val="21"/>
                <w:szCs w:val="21"/>
                <w:highlight w:val="none"/>
                <w:lang w:val="en-US" w:eastAsia="en-US" w:bidi="en-US"/>
              </w:rPr>
              <w:t>.1.2</w:t>
            </w:r>
          </w:p>
        </w:tc>
        <w:tc>
          <w:tcPr>
            <w:tcW w:w="77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70528A2">
            <w:pPr>
              <w:pStyle w:val="36"/>
              <w:spacing w:after="240" w:line="280" w:lineRule="exact"/>
              <w:jc w:val="center"/>
              <w:rPr>
                <w:color w:val="auto"/>
                <w:sz w:val="21"/>
                <w:szCs w:val="21"/>
                <w:highlight w:val="none"/>
              </w:rPr>
            </w:pPr>
            <w:r>
              <w:rPr>
                <w:rFonts w:hint="eastAsia"/>
                <w:color w:val="auto"/>
                <w:sz w:val="21"/>
                <w:szCs w:val="21"/>
                <w:highlight w:val="none"/>
              </w:rPr>
              <w:t>资格评审标准</w:t>
            </w:r>
          </w:p>
        </w:tc>
        <w:tc>
          <w:tcPr>
            <w:tcW w:w="1552" w:type="dxa"/>
            <w:tcBorders>
              <w:top w:val="single" w:color="auto" w:sz="4" w:space="0"/>
              <w:left w:val="single" w:color="auto" w:sz="4" w:space="0"/>
              <w:bottom w:val="single" w:color="auto" w:sz="4" w:space="0"/>
              <w:right w:val="single" w:color="auto" w:sz="4" w:space="0"/>
            </w:tcBorders>
            <w:shd w:val="clear" w:color="auto" w:fill="FFFFFF"/>
            <w:vAlign w:val="center"/>
          </w:tcPr>
          <w:p w14:paraId="6E304917">
            <w:pPr>
              <w:pStyle w:val="36"/>
              <w:spacing w:line="280" w:lineRule="exact"/>
              <w:ind w:firstLine="440"/>
              <w:rPr>
                <w:color w:val="auto"/>
                <w:sz w:val="21"/>
                <w:szCs w:val="21"/>
                <w:highlight w:val="none"/>
              </w:rPr>
            </w:pPr>
            <w:r>
              <w:rPr>
                <w:rFonts w:hint="eastAsia"/>
                <w:color w:val="auto"/>
                <w:sz w:val="21"/>
                <w:szCs w:val="21"/>
                <w:highlight w:val="none"/>
              </w:rPr>
              <w:t>资质要求</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6E465495">
            <w:pPr>
              <w:spacing w:line="280" w:lineRule="exact"/>
              <w:jc w:val="both"/>
              <w:rPr>
                <w:rFonts w:ascii="宋体" w:hAnsi="宋体" w:cs="宋体"/>
                <w:color w:val="auto"/>
                <w:sz w:val="21"/>
                <w:szCs w:val="21"/>
                <w:highlight w:val="none"/>
              </w:rPr>
            </w:pPr>
            <w:r>
              <w:rPr>
                <w:rFonts w:hint="eastAsia" w:ascii="宋体" w:hAnsi="宋体" w:cs="宋体"/>
                <w:color w:val="auto"/>
                <w:sz w:val="21"/>
                <w:szCs w:val="21"/>
                <w:highlight w:val="none"/>
              </w:rPr>
              <w:t>符合第二章</w:t>
            </w:r>
            <w:r>
              <w:rPr>
                <w:rFonts w:hint="eastAsia" w:ascii="宋体" w:hAnsi="宋体" w:cs="宋体"/>
                <w:color w:val="auto"/>
                <w:sz w:val="21"/>
                <w:szCs w:val="21"/>
                <w:highlight w:val="none"/>
                <w:lang w:val="zh-CN" w:bidi="zh-CN"/>
              </w:rPr>
              <w:t>“比选人</w:t>
            </w:r>
            <w:r>
              <w:rPr>
                <w:rFonts w:hint="eastAsia" w:ascii="宋体" w:hAnsi="宋体" w:cs="宋体"/>
                <w:color w:val="auto"/>
                <w:sz w:val="21"/>
                <w:szCs w:val="21"/>
                <w:highlight w:val="none"/>
              </w:rPr>
              <w:t xml:space="preserve">须知前附表”附录 1 </w:t>
            </w:r>
          </w:p>
        </w:tc>
      </w:tr>
      <w:tr w14:paraId="70C88FD0">
        <w:tblPrEx>
          <w:tblCellMar>
            <w:top w:w="0" w:type="dxa"/>
            <w:left w:w="10" w:type="dxa"/>
            <w:bottom w:w="0" w:type="dxa"/>
            <w:right w:w="10" w:type="dxa"/>
          </w:tblCellMar>
        </w:tblPrEx>
        <w:trPr>
          <w:trHeight w:val="454"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752D839">
            <w:pPr>
              <w:spacing w:line="280" w:lineRule="exact"/>
              <w:rPr>
                <w:rFonts w:ascii="宋体" w:hAnsi="宋体" w:cs="宋体"/>
                <w:color w:val="auto"/>
                <w:sz w:val="21"/>
                <w:szCs w:val="21"/>
                <w:highlight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9FC9F7F">
            <w:pPr>
              <w:spacing w:line="280" w:lineRule="exact"/>
              <w:rPr>
                <w:rFonts w:ascii="宋体" w:hAnsi="宋体" w:cs="宋体"/>
                <w:color w:val="auto"/>
                <w:sz w:val="21"/>
                <w:szCs w:val="21"/>
                <w:highlight w:val="none"/>
              </w:rPr>
            </w:pPr>
          </w:p>
        </w:tc>
        <w:tc>
          <w:tcPr>
            <w:tcW w:w="1552" w:type="dxa"/>
            <w:tcBorders>
              <w:top w:val="single" w:color="auto" w:sz="4" w:space="0"/>
              <w:left w:val="single" w:color="auto" w:sz="4" w:space="0"/>
              <w:bottom w:val="single" w:color="auto" w:sz="4" w:space="0"/>
              <w:right w:val="single" w:color="auto" w:sz="4" w:space="0"/>
            </w:tcBorders>
            <w:shd w:val="clear" w:color="auto" w:fill="FFFFFF"/>
            <w:vAlign w:val="center"/>
          </w:tcPr>
          <w:p w14:paraId="1B945F72">
            <w:pPr>
              <w:pStyle w:val="36"/>
              <w:spacing w:line="280" w:lineRule="exact"/>
              <w:jc w:val="center"/>
              <w:rPr>
                <w:color w:val="auto"/>
                <w:sz w:val="21"/>
                <w:szCs w:val="21"/>
                <w:highlight w:val="none"/>
              </w:rPr>
            </w:pPr>
            <w:r>
              <w:rPr>
                <w:rFonts w:hint="eastAsia"/>
                <w:color w:val="auto"/>
                <w:sz w:val="21"/>
                <w:szCs w:val="21"/>
                <w:highlight w:val="none"/>
              </w:rPr>
              <w:t>业绩要求</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699C9CAF">
            <w:pPr>
              <w:pStyle w:val="36"/>
              <w:spacing w:line="280" w:lineRule="exact"/>
              <w:jc w:val="both"/>
              <w:rPr>
                <w:color w:val="auto"/>
                <w:sz w:val="21"/>
                <w:szCs w:val="21"/>
                <w:highlight w:val="none"/>
              </w:rPr>
            </w:pPr>
            <w:r>
              <w:rPr>
                <w:rFonts w:hint="eastAsia"/>
                <w:color w:val="auto"/>
                <w:sz w:val="21"/>
                <w:szCs w:val="21"/>
                <w:highlight w:val="none"/>
              </w:rPr>
              <w:t>符合第二章</w:t>
            </w:r>
            <w:r>
              <w:rPr>
                <w:rFonts w:hint="eastAsia"/>
                <w:color w:val="auto"/>
                <w:sz w:val="21"/>
                <w:szCs w:val="21"/>
                <w:highlight w:val="none"/>
                <w:lang w:val="zh-CN" w:eastAsia="zh-CN" w:bidi="zh-CN"/>
              </w:rPr>
              <w:t>“比选人</w:t>
            </w:r>
            <w:r>
              <w:rPr>
                <w:rFonts w:hint="eastAsia"/>
                <w:color w:val="auto"/>
                <w:sz w:val="21"/>
                <w:szCs w:val="21"/>
                <w:highlight w:val="none"/>
              </w:rPr>
              <w:t>须知</w:t>
            </w:r>
            <w:r>
              <w:rPr>
                <w:rFonts w:hint="eastAsia"/>
                <w:color w:val="auto"/>
                <w:sz w:val="21"/>
                <w:szCs w:val="21"/>
                <w:highlight w:val="none"/>
                <w:lang w:val="en-US" w:eastAsia="zh-CN"/>
              </w:rPr>
              <w:t>前附表</w:t>
            </w:r>
            <w:r>
              <w:rPr>
                <w:rFonts w:hint="eastAsia"/>
                <w:color w:val="auto"/>
                <w:sz w:val="21"/>
                <w:szCs w:val="21"/>
                <w:highlight w:val="none"/>
              </w:rPr>
              <w:t xml:space="preserve">”附录 </w:t>
            </w:r>
            <w:r>
              <w:rPr>
                <w:rFonts w:hint="eastAsia"/>
                <w:color w:val="auto"/>
                <w:sz w:val="21"/>
                <w:szCs w:val="21"/>
                <w:highlight w:val="none"/>
                <w:lang w:val="en-US" w:eastAsia="zh-CN"/>
              </w:rPr>
              <w:t>2</w:t>
            </w:r>
            <w:r>
              <w:rPr>
                <w:rFonts w:hint="eastAsia"/>
                <w:color w:val="auto"/>
                <w:sz w:val="21"/>
                <w:szCs w:val="21"/>
                <w:highlight w:val="none"/>
              </w:rPr>
              <w:t xml:space="preserve"> </w:t>
            </w:r>
          </w:p>
        </w:tc>
      </w:tr>
      <w:tr w14:paraId="4398A1F8">
        <w:tblPrEx>
          <w:tblCellMar>
            <w:top w:w="0" w:type="dxa"/>
            <w:left w:w="10" w:type="dxa"/>
            <w:bottom w:w="0" w:type="dxa"/>
            <w:right w:w="10" w:type="dxa"/>
          </w:tblCellMar>
        </w:tblPrEx>
        <w:trPr>
          <w:trHeight w:val="454"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2C78CB6">
            <w:pPr>
              <w:spacing w:line="280" w:lineRule="exact"/>
              <w:rPr>
                <w:rFonts w:ascii="宋体" w:hAnsi="宋体" w:cs="宋体"/>
                <w:color w:val="auto"/>
                <w:sz w:val="21"/>
                <w:szCs w:val="21"/>
                <w:highlight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273C208">
            <w:pPr>
              <w:spacing w:line="280" w:lineRule="exact"/>
              <w:rPr>
                <w:rFonts w:ascii="宋体" w:hAnsi="宋体" w:cs="宋体"/>
                <w:color w:val="auto"/>
                <w:sz w:val="21"/>
                <w:szCs w:val="21"/>
                <w:highlight w:val="none"/>
              </w:rPr>
            </w:pPr>
          </w:p>
        </w:tc>
        <w:tc>
          <w:tcPr>
            <w:tcW w:w="1552" w:type="dxa"/>
            <w:tcBorders>
              <w:top w:val="single" w:color="auto" w:sz="4" w:space="0"/>
              <w:left w:val="single" w:color="auto" w:sz="4" w:space="0"/>
              <w:bottom w:val="single" w:color="auto" w:sz="4" w:space="0"/>
              <w:right w:val="single" w:color="auto" w:sz="4" w:space="0"/>
            </w:tcBorders>
            <w:shd w:val="clear" w:color="auto" w:fill="FFFFFF"/>
            <w:vAlign w:val="center"/>
          </w:tcPr>
          <w:p w14:paraId="5AA7CF21">
            <w:pPr>
              <w:pStyle w:val="36"/>
              <w:spacing w:line="280" w:lineRule="exact"/>
              <w:jc w:val="center"/>
              <w:rPr>
                <w:color w:val="auto"/>
                <w:sz w:val="21"/>
                <w:szCs w:val="21"/>
                <w:highlight w:val="none"/>
              </w:rPr>
            </w:pPr>
            <w:r>
              <w:rPr>
                <w:rFonts w:hint="eastAsia"/>
                <w:color w:val="auto"/>
                <w:sz w:val="21"/>
                <w:szCs w:val="21"/>
                <w:highlight w:val="none"/>
              </w:rPr>
              <w:t>信誉要求</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5E7A9C33">
            <w:pPr>
              <w:pStyle w:val="36"/>
              <w:spacing w:line="280" w:lineRule="exact"/>
              <w:jc w:val="both"/>
              <w:rPr>
                <w:color w:val="auto"/>
                <w:sz w:val="21"/>
                <w:szCs w:val="21"/>
                <w:highlight w:val="none"/>
              </w:rPr>
            </w:pPr>
            <w:r>
              <w:rPr>
                <w:rFonts w:hint="eastAsia"/>
                <w:color w:val="auto"/>
                <w:sz w:val="21"/>
                <w:szCs w:val="21"/>
                <w:highlight w:val="none"/>
              </w:rPr>
              <w:t>符合第二章</w:t>
            </w:r>
            <w:r>
              <w:rPr>
                <w:rFonts w:hint="eastAsia"/>
                <w:color w:val="auto"/>
                <w:sz w:val="21"/>
                <w:szCs w:val="21"/>
                <w:highlight w:val="none"/>
                <w:lang w:val="zh-CN" w:eastAsia="zh-CN" w:bidi="zh-CN"/>
              </w:rPr>
              <w:t>“比选人</w:t>
            </w:r>
            <w:r>
              <w:rPr>
                <w:rFonts w:hint="eastAsia"/>
                <w:color w:val="auto"/>
                <w:sz w:val="21"/>
                <w:szCs w:val="21"/>
                <w:highlight w:val="none"/>
              </w:rPr>
              <w:t>须知</w:t>
            </w:r>
            <w:r>
              <w:rPr>
                <w:rFonts w:hint="eastAsia"/>
                <w:color w:val="auto"/>
                <w:sz w:val="21"/>
                <w:szCs w:val="21"/>
                <w:highlight w:val="none"/>
                <w:lang w:val="en-US" w:eastAsia="zh-CN"/>
              </w:rPr>
              <w:t>前附表</w:t>
            </w:r>
            <w:r>
              <w:rPr>
                <w:rFonts w:hint="eastAsia"/>
                <w:color w:val="auto"/>
                <w:sz w:val="21"/>
                <w:szCs w:val="21"/>
                <w:highlight w:val="none"/>
              </w:rPr>
              <w:t>”附录</w:t>
            </w:r>
            <w:r>
              <w:rPr>
                <w:rFonts w:hint="eastAsia"/>
                <w:color w:val="auto"/>
                <w:sz w:val="21"/>
                <w:szCs w:val="21"/>
                <w:highlight w:val="none"/>
                <w:lang w:val="en-US" w:eastAsia="zh-CN"/>
              </w:rPr>
              <w:t>3</w:t>
            </w:r>
            <w:r>
              <w:rPr>
                <w:rFonts w:hint="eastAsia"/>
                <w:color w:val="auto"/>
                <w:sz w:val="21"/>
                <w:szCs w:val="21"/>
                <w:highlight w:val="none"/>
              </w:rPr>
              <w:t xml:space="preserve"> </w:t>
            </w:r>
          </w:p>
        </w:tc>
      </w:tr>
      <w:tr w14:paraId="321E95D1">
        <w:tblPrEx>
          <w:tblCellMar>
            <w:top w:w="0" w:type="dxa"/>
            <w:left w:w="10" w:type="dxa"/>
            <w:bottom w:w="0" w:type="dxa"/>
            <w:right w:w="10" w:type="dxa"/>
          </w:tblCellMar>
        </w:tblPrEx>
        <w:trPr>
          <w:trHeight w:val="454"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EFB66CC">
            <w:pPr>
              <w:spacing w:line="280" w:lineRule="exact"/>
              <w:rPr>
                <w:rFonts w:ascii="宋体" w:hAnsi="宋体" w:cs="宋体"/>
                <w:color w:val="auto"/>
                <w:sz w:val="21"/>
                <w:szCs w:val="21"/>
                <w:highlight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B1D8A82">
            <w:pPr>
              <w:spacing w:line="280" w:lineRule="exact"/>
              <w:rPr>
                <w:rFonts w:ascii="宋体" w:hAnsi="宋体" w:cs="宋体"/>
                <w:color w:val="auto"/>
                <w:sz w:val="21"/>
                <w:szCs w:val="21"/>
                <w:highlight w:val="none"/>
              </w:rPr>
            </w:pPr>
          </w:p>
        </w:tc>
        <w:tc>
          <w:tcPr>
            <w:tcW w:w="1552" w:type="dxa"/>
            <w:tcBorders>
              <w:top w:val="single" w:color="auto" w:sz="4" w:space="0"/>
              <w:left w:val="single" w:color="auto" w:sz="4" w:space="0"/>
              <w:bottom w:val="single" w:color="auto" w:sz="4" w:space="0"/>
              <w:right w:val="single" w:color="auto" w:sz="4" w:space="0"/>
            </w:tcBorders>
            <w:shd w:val="clear" w:color="auto" w:fill="FFFFFF"/>
            <w:vAlign w:val="center"/>
          </w:tcPr>
          <w:p w14:paraId="5F34FFDB">
            <w:pPr>
              <w:pStyle w:val="36"/>
              <w:spacing w:line="280" w:lineRule="exact"/>
              <w:jc w:val="center"/>
              <w:rPr>
                <w:color w:val="auto"/>
                <w:sz w:val="21"/>
                <w:szCs w:val="21"/>
                <w:highlight w:val="none"/>
              </w:rPr>
            </w:pPr>
            <w:r>
              <w:rPr>
                <w:rFonts w:hint="eastAsia"/>
                <w:color w:val="auto"/>
                <w:sz w:val="21"/>
                <w:szCs w:val="21"/>
                <w:highlight w:val="none"/>
                <w:lang w:eastAsia="zh-CN"/>
              </w:rPr>
              <w:t>比选</w:t>
            </w:r>
            <w:r>
              <w:rPr>
                <w:rFonts w:hint="eastAsia"/>
                <w:color w:val="auto"/>
                <w:sz w:val="21"/>
                <w:szCs w:val="21"/>
                <w:highlight w:val="none"/>
              </w:rPr>
              <w:t>要求</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0FF13F99">
            <w:pPr>
              <w:pStyle w:val="36"/>
              <w:spacing w:line="280" w:lineRule="exact"/>
              <w:jc w:val="both"/>
              <w:rPr>
                <w:color w:val="auto"/>
                <w:sz w:val="21"/>
                <w:szCs w:val="21"/>
                <w:highlight w:val="none"/>
              </w:rPr>
            </w:pPr>
            <w:r>
              <w:rPr>
                <w:rFonts w:hint="eastAsia"/>
                <w:color w:val="auto"/>
                <w:sz w:val="21"/>
                <w:szCs w:val="21"/>
                <w:highlight w:val="none"/>
              </w:rPr>
              <w:t>不存在第</w:t>
            </w:r>
            <w:r>
              <w:rPr>
                <w:rFonts w:hint="eastAsia"/>
                <w:color w:val="auto"/>
                <w:sz w:val="21"/>
                <w:szCs w:val="21"/>
                <w:highlight w:val="none"/>
                <w:lang w:val="zh-CN" w:eastAsia="zh-CN" w:bidi="zh-CN"/>
              </w:rPr>
              <w:t>“比选人</w:t>
            </w:r>
            <w:r>
              <w:rPr>
                <w:rFonts w:hint="eastAsia"/>
                <w:color w:val="auto"/>
                <w:sz w:val="21"/>
                <w:szCs w:val="21"/>
                <w:highlight w:val="none"/>
              </w:rPr>
              <w:t>须知”第</w:t>
            </w:r>
            <w:r>
              <w:rPr>
                <w:rFonts w:hint="eastAsia"/>
                <w:color w:val="auto"/>
                <w:sz w:val="21"/>
                <w:szCs w:val="21"/>
                <w:highlight w:val="none"/>
                <w:lang w:val="en-US" w:eastAsia="zh-CN" w:bidi="en-US"/>
              </w:rPr>
              <w:t>1.4.3</w:t>
            </w:r>
            <w:r>
              <w:rPr>
                <w:rFonts w:hint="eastAsia"/>
                <w:color w:val="auto"/>
                <w:sz w:val="21"/>
                <w:szCs w:val="21"/>
                <w:highlight w:val="none"/>
              </w:rPr>
              <w:t>任何一种情形之一</w:t>
            </w:r>
          </w:p>
        </w:tc>
      </w:tr>
      <w:tr w14:paraId="37EAEB9E">
        <w:tblPrEx>
          <w:tblCellMar>
            <w:top w:w="0" w:type="dxa"/>
            <w:left w:w="10" w:type="dxa"/>
            <w:bottom w:w="0" w:type="dxa"/>
            <w:right w:w="10" w:type="dxa"/>
          </w:tblCellMar>
        </w:tblPrEx>
        <w:trPr>
          <w:trHeight w:val="454" w:hRule="atLeast"/>
          <w:jc w:val="center"/>
        </w:trPr>
        <w:tc>
          <w:tcPr>
            <w:tcW w:w="973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060B213">
            <w:pPr>
              <w:pStyle w:val="36"/>
              <w:spacing w:line="280" w:lineRule="exact"/>
              <w:jc w:val="both"/>
              <w:rPr>
                <w:color w:val="auto"/>
                <w:sz w:val="21"/>
                <w:szCs w:val="21"/>
                <w:highlight w:val="none"/>
              </w:rPr>
            </w:pPr>
            <w:r>
              <w:rPr>
                <w:rFonts w:hint="eastAsia"/>
                <w:color w:val="auto"/>
                <w:sz w:val="21"/>
                <w:szCs w:val="21"/>
                <w:highlight w:val="none"/>
              </w:rPr>
              <w:t>以上评审有一条不通过，则视为资格评审标准不通过，不进入下一步评审，其</w:t>
            </w:r>
            <w:r>
              <w:rPr>
                <w:rFonts w:hint="eastAsia"/>
                <w:color w:val="auto"/>
                <w:sz w:val="21"/>
                <w:szCs w:val="21"/>
                <w:highlight w:val="none"/>
                <w:lang w:eastAsia="zh-CN"/>
              </w:rPr>
              <w:t>比选</w:t>
            </w:r>
            <w:r>
              <w:rPr>
                <w:rFonts w:hint="eastAsia"/>
                <w:color w:val="auto"/>
                <w:sz w:val="21"/>
                <w:szCs w:val="21"/>
                <w:highlight w:val="none"/>
              </w:rPr>
              <w:t>予以否决。</w:t>
            </w:r>
          </w:p>
        </w:tc>
      </w:tr>
      <w:tr w14:paraId="1F8B7B37">
        <w:tblPrEx>
          <w:tblCellMar>
            <w:top w:w="0" w:type="dxa"/>
            <w:left w:w="10" w:type="dxa"/>
            <w:bottom w:w="0" w:type="dxa"/>
            <w:right w:w="10" w:type="dxa"/>
          </w:tblCellMar>
        </w:tblPrEx>
        <w:trPr>
          <w:trHeight w:val="454" w:hRule="atLeast"/>
          <w:jc w:val="center"/>
        </w:trPr>
        <w:tc>
          <w:tcPr>
            <w:tcW w:w="82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7D29B1D">
            <w:pPr>
              <w:pStyle w:val="36"/>
              <w:spacing w:line="280" w:lineRule="exact"/>
              <w:ind w:firstLine="160"/>
              <w:rPr>
                <w:color w:val="auto"/>
                <w:sz w:val="21"/>
                <w:szCs w:val="21"/>
                <w:highlight w:val="none"/>
              </w:rPr>
            </w:pPr>
            <w:r>
              <w:rPr>
                <w:rFonts w:hint="eastAsia"/>
                <w:color w:val="auto"/>
                <w:sz w:val="21"/>
                <w:szCs w:val="21"/>
                <w:highlight w:val="none"/>
                <w:lang w:val="en-US" w:eastAsia="zh-CN" w:bidi="en-US"/>
              </w:rPr>
              <w:t>1</w:t>
            </w:r>
            <w:r>
              <w:rPr>
                <w:rFonts w:hint="eastAsia"/>
                <w:color w:val="auto"/>
                <w:sz w:val="21"/>
                <w:szCs w:val="21"/>
                <w:highlight w:val="none"/>
                <w:lang w:val="en-US" w:eastAsia="en-US" w:bidi="en-US"/>
              </w:rPr>
              <w:t>.1.3</w:t>
            </w:r>
          </w:p>
        </w:tc>
        <w:tc>
          <w:tcPr>
            <w:tcW w:w="77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C5D6059">
            <w:pPr>
              <w:pStyle w:val="36"/>
              <w:spacing w:line="280" w:lineRule="exact"/>
              <w:jc w:val="center"/>
              <w:rPr>
                <w:color w:val="auto"/>
                <w:sz w:val="21"/>
                <w:szCs w:val="21"/>
                <w:highlight w:val="none"/>
              </w:rPr>
            </w:pPr>
            <w:r>
              <w:rPr>
                <w:rFonts w:hint="eastAsia"/>
                <w:color w:val="auto"/>
                <w:sz w:val="21"/>
                <w:szCs w:val="21"/>
                <w:highlight w:val="none"/>
              </w:rPr>
              <w:t>响应性评审标准</w:t>
            </w:r>
          </w:p>
        </w:tc>
        <w:tc>
          <w:tcPr>
            <w:tcW w:w="1552" w:type="dxa"/>
            <w:tcBorders>
              <w:top w:val="single" w:color="auto" w:sz="4" w:space="0"/>
              <w:left w:val="single" w:color="auto" w:sz="4" w:space="0"/>
              <w:bottom w:val="single" w:color="auto" w:sz="4" w:space="0"/>
              <w:right w:val="single" w:color="auto" w:sz="4" w:space="0"/>
            </w:tcBorders>
            <w:shd w:val="clear" w:color="auto" w:fill="FFFFFF"/>
            <w:vAlign w:val="center"/>
          </w:tcPr>
          <w:p w14:paraId="749981BD">
            <w:pPr>
              <w:pStyle w:val="36"/>
              <w:spacing w:line="280" w:lineRule="exact"/>
              <w:jc w:val="center"/>
              <w:rPr>
                <w:color w:val="auto"/>
                <w:sz w:val="21"/>
                <w:szCs w:val="21"/>
                <w:highlight w:val="none"/>
                <w:lang w:eastAsia="zh-CN"/>
              </w:rPr>
            </w:pPr>
            <w:r>
              <w:rPr>
                <w:rFonts w:hint="eastAsia"/>
                <w:color w:val="auto"/>
                <w:sz w:val="21"/>
                <w:szCs w:val="21"/>
                <w:highlight w:val="none"/>
                <w:lang w:eastAsia="zh-CN"/>
              </w:rPr>
              <w:t>比选范围</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19C30D90">
            <w:pPr>
              <w:pStyle w:val="36"/>
              <w:spacing w:line="280" w:lineRule="exact"/>
              <w:jc w:val="both"/>
              <w:rPr>
                <w:color w:val="auto"/>
                <w:sz w:val="21"/>
                <w:szCs w:val="21"/>
                <w:highlight w:val="none"/>
              </w:rPr>
            </w:pPr>
            <w:r>
              <w:rPr>
                <w:rFonts w:hint="eastAsia"/>
                <w:color w:val="auto"/>
                <w:sz w:val="21"/>
                <w:szCs w:val="21"/>
                <w:highlight w:val="none"/>
              </w:rPr>
              <w:t>符合第二章</w:t>
            </w:r>
            <w:r>
              <w:rPr>
                <w:rFonts w:hint="eastAsia"/>
                <w:color w:val="auto"/>
                <w:sz w:val="21"/>
                <w:szCs w:val="21"/>
                <w:highlight w:val="none"/>
                <w:lang w:val="zh-CN" w:eastAsia="zh-CN" w:bidi="zh-CN"/>
              </w:rPr>
              <w:t>“比选人</w:t>
            </w:r>
            <w:r>
              <w:rPr>
                <w:rFonts w:hint="eastAsia"/>
                <w:color w:val="auto"/>
                <w:sz w:val="21"/>
                <w:szCs w:val="21"/>
                <w:highlight w:val="none"/>
              </w:rPr>
              <w:t>须知”第</w:t>
            </w:r>
            <w:r>
              <w:rPr>
                <w:rFonts w:hint="eastAsia"/>
                <w:color w:val="auto"/>
                <w:sz w:val="21"/>
                <w:szCs w:val="21"/>
                <w:highlight w:val="none"/>
                <w:lang w:val="en-US" w:eastAsia="zh-CN" w:bidi="en-US"/>
              </w:rPr>
              <w:t>1.3.1</w:t>
            </w:r>
            <w:r>
              <w:rPr>
                <w:rFonts w:hint="eastAsia"/>
                <w:color w:val="auto"/>
                <w:sz w:val="21"/>
                <w:szCs w:val="21"/>
                <w:highlight w:val="none"/>
              </w:rPr>
              <w:t>项规定</w:t>
            </w:r>
          </w:p>
        </w:tc>
      </w:tr>
      <w:tr w14:paraId="75450848">
        <w:tblPrEx>
          <w:tblCellMar>
            <w:top w:w="0" w:type="dxa"/>
            <w:left w:w="10" w:type="dxa"/>
            <w:bottom w:w="0" w:type="dxa"/>
            <w:right w:w="10" w:type="dxa"/>
          </w:tblCellMar>
        </w:tblPrEx>
        <w:trPr>
          <w:trHeight w:val="454"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9820320">
            <w:pPr>
              <w:spacing w:line="280" w:lineRule="exact"/>
              <w:rPr>
                <w:rFonts w:ascii="宋体" w:hAnsi="宋体" w:cs="宋体"/>
                <w:color w:val="auto"/>
                <w:sz w:val="21"/>
                <w:szCs w:val="21"/>
                <w:highlight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0CB0985">
            <w:pPr>
              <w:spacing w:line="280" w:lineRule="exact"/>
              <w:rPr>
                <w:rFonts w:ascii="宋体" w:hAnsi="宋体" w:cs="宋体"/>
                <w:color w:val="auto"/>
                <w:sz w:val="21"/>
                <w:szCs w:val="21"/>
                <w:highlight w:val="none"/>
              </w:rPr>
            </w:pPr>
          </w:p>
        </w:tc>
        <w:tc>
          <w:tcPr>
            <w:tcW w:w="1552" w:type="dxa"/>
            <w:tcBorders>
              <w:top w:val="single" w:color="auto" w:sz="4" w:space="0"/>
              <w:left w:val="single" w:color="auto" w:sz="4" w:space="0"/>
              <w:bottom w:val="single" w:color="auto" w:sz="4" w:space="0"/>
              <w:right w:val="single" w:color="auto" w:sz="4" w:space="0"/>
            </w:tcBorders>
            <w:shd w:val="clear" w:color="auto" w:fill="FFFFFF"/>
            <w:vAlign w:val="center"/>
          </w:tcPr>
          <w:p w14:paraId="0489F79D">
            <w:pPr>
              <w:pStyle w:val="36"/>
              <w:spacing w:line="280" w:lineRule="exact"/>
              <w:jc w:val="center"/>
              <w:rPr>
                <w:color w:val="auto"/>
                <w:sz w:val="21"/>
                <w:szCs w:val="21"/>
                <w:highlight w:val="none"/>
              </w:rPr>
            </w:pPr>
            <w:r>
              <w:rPr>
                <w:rFonts w:hint="eastAsia"/>
                <w:color w:val="auto"/>
                <w:sz w:val="21"/>
                <w:szCs w:val="21"/>
                <w:highlight w:val="none"/>
              </w:rPr>
              <w:t>服务期</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29D678D8">
            <w:pPr>
              <w:pStyle w:val="36"/>
              <w:spacing w:line="280" w:lineRule="exact"/>
              <w:jc w:val="both"/>
              <w:rPr>
                <w:color w:val="auto"/>
                <w:sz w:val="21"/>
                <w:szCs w:val="21"/>
                <w:highlight w:val="none"/>
              </w:rPr>
            </w:pPr>
            <w:r>
              <w:rPr>
                <w:rFonts w:hint="eastAsia"/>
                <w:color w:val="auto"/>
                <w:sz w:val="21"/>
                <w:szCs w:val="21"/>
                <w:highlight w:val="none"/>
              </w:rPr>
              <w:t>符合第二章</w:t>
            </w:r>
            <w:r>
              <w:rPr>
                <w:rFonts w:hint="eastAsia"/>
                <w:color w:val="auto"/>
                <w:sz w:val="21"/>
                <w:szCs w:val="21"/>
                <w:highlight w:val="none"/>
                <w:lang w:val="zh-CN" w:eastAsia="zh-CN" w:bidi="zh-CN"/>
              </w:rPr>
              <w:t>“比选人</w:t>
            </w:r>
            <w:r>
              <w:rPr>
                <w:rFonts w:hint="eastAsia"/>
                <w:color w:val="auto"/>
                <w:sz w:val="21"/>
                <w:szCs w:val="21"/>
                <w:highlight w:val="none"/>
              </w:rPr>
              <w:t>须知”第</w:t>
            </w:r>
            <w:r>
              <w:rPr>
                <w:rFonts w:hint="eastAsia"/>
                <w:color w:val="auto"/>
                <w:sz w:val="21"/>
                <w:szCs w:val="21"/>
                <w:highlight w:val="none"/>
                <w:lang w:val="en-US" w:eastAsia="zh-CN" w:bidi="en-US"/>
              </w:rPr>
              <w:t>1.3.2</w:t>
            </w:r>
            <w:r>
              <w:rPr>
                <w:rFonts w:hint="eastAsia"/>
                <w:color w:val="auto"/>
                <w:sz w:val="21"/>
                <w:szCs w:val="21"/>
                <w:highlight w:val="none"/>
              </w:rPr>
              <w:t>项规定</w:t>
            </w:r>
          </w:p>
        </w:tc>
      </w:tr>
      <w:tr w14:paraId="57A4E1F0">
        <w:tblPrEx>
          <w:tblCellMar>
            <w:top w:w="0" w:type="dxa"/>
            <w:left w:w="10" w:type="dxa"/>
            <w:bottom w:w="0" w:type="dxa"/>
            <w:right w:w="10" w:type="dxa"/>
          </w:tblCellMar>
        </w:tblPrEx>
        <w:trPr>
          <w:trHeight w:val="454"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DBF0845">
            <w:pPr>
              <w:spacing w:line="280" w:lineRule="exact"/>
              <w:rPr>
                <w:rFonts w:ascii="宋体" w:hAnsi="宋体" w:cs="宋体"/>
                <w:color w:val="auto"/>
                <w:sz w:val="21"/>
                <w:szCs w:val="21"/>
                <w:highlight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CA08E1C">
            <w:pPr>
              <w:spacing w:line="280" w:lineRule="exact"/>
              <w:rPr>
                <w:rFonts w:ascii="宋体" w:hAnsi="宋体" w:cs="宋体"/>
                <w:color w:val="auto"/>
                <w:sz w:val="21"/>
                <w:szCs w:val="21"/>
                <w:highlight w:val="none"/>
              </w:rPr>
            </w:pPr>
          </w:p>
        </w:tc>
        <w:tc>
          <w:tcPr>
            <w:tcW w:w="1552" w:type="dxa"/>
            <w:tcBorders>
              <w:top w:val="single" w:color="auto" w:sz="4" w:space="0"/>
              <w:left w:val="single" w:color="auto" w:sz="4" w:space="0"/>
              <w:bottom w:val="single" w:color="auto" w:sz="4" w:space="0"/>
              <w:right w:val="single" w:color="auto" w:sz="4" w:space="0"/>
            </w:tcBorders>
            <w:shd w:val="clear" w:color="auto" w:fill="FFFFFF"/>
            <w:vAlign w:val="center"/>
          </w:tcPr>
          <w:p w14:paraId="78F7F772">
            <w:pPr>
              <w:pStyle w:val="36"/>
              <w:spacing w:line="280" w:lineRule="exact"/>
              <w:jc w:val="center"/>
              <w:rPr>
                <w:color w:val="auto"/>
                <w:sz w:val="21"/>
                <w:szCs w:val="21"/>
                <w:highlight w:val="none"/>
                <w:lang w:eastAsia="zh-CN"/>
              </w:rPr>
            </w:pPr>
            <w:r>
              <w:rPr>
                <w:rFonts w:hint="eastAsia"/>
                <w:color w:val="auto"/>
                <w:sz w:val="21"/>
                <w:szCs w:val="21"/>
                <w:highlight w:val="none"/>
              </w:rPr>
              <w:t>服务</w:t>
            </w:r>
            <w:r>
              <w:rPr>
                <w:rFonts w:hint="eastAsia"/>
                <w:color w:val="auto"/>
                <w:sz w:val="21"/>
                <w:szCs w:val="21"/>
                <w:highlight w:val="none"/>
                <w:lang w:val="en-US" w:eastAsia="zh-CN"/>
              </w:rPr>
              <w:t>地点</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532E7124">
            <w:pPr>
              <w:pStyle w:val="36"/>
              <w:spacing w:line="280" w:lineRule="exact"/>
              <w:jc w:val="both"/>
              <w:rPr>
                <w:color w:val="auto"/>
                <w:sz w:val="21"/>
                <w:szCs w:val="21"/>
                <w:highlight w:val="none"/>
              </w:rPr>
            </w:pPr>
            <w:r>
              <w:rPr>
                <w:rFonts w:hint="eastAsia"/>
                <w:color w:val="auto"/>
                <w:sz w:val="21"/>
                <w:szCs w:val="21"/>
                <w:highlight w:val="none"/>
              </w:rPr>
              <w:t>符合第二章</w:t>
            </w:r>
            <w:r>
              <w:rPr>
                <w:rFonts w:hint="eastAsia"/>
                <w:color w:val="auto"/>
                <w:sz w:val="21"/>
                <w:szCs w:val="21"/>
                <w:highlight w:val="none"/>
                <w:lang w:val="zh-CN" w:eastAsia="zh-CN" w:bidi="zh-CN"/>
              </w:rPr>
              <w:t>“比选人</w:t>
            </w:r>
            <w:r>
              <w:rPr>
                <w:rFonts w:hint="eastAsia"/>
                <w:color w:val="auto"/>
                <w:sz w:val="21"/>
                <w:szCs w:val="21"/>
                <w:highlight w:val="none"/>
              </w:rPr>
              <w:t>须知”第</w:t>
            </w:r>
            <w:r>
              <w:rPr>
                <w:rFonts w:hint="eastAsia"/>
                <w:color w:val="auto"/>
                <w:sz w:val="21"/>
                <w:szCs w:val="21"/>
                <w:highlight w:val="none"/>
                <w:lang w:val="en-US" w:eastAsia="zh-CN" w:bidi="en-US"/>
              </w:rPr>
              <w:t>1.3.3</w:t>
            </w:r>
            <w:r>
              <w:rPr>
                <w:rFonts w:hint="eastAsia"/>
                <w:color w:val="auto"/>
                <w:sz w:val="21"/>
                <w:szCs w:val="21"/>
                <w:highlight w:val="none"/>
              </w:rPr>
              <w:t>项规定</w:t>
            </w:r>
          </w:p>
        </w:tc>
      </w:tr>
      <w:tr w14:paraId="33568408">
        <w:tblPrEx>
          <w:tblCellMar>
            <w:top w:w="0" w:type="dxa"/>
            <w:left w:w="10" w:type="dxa"/>
            <w:bottom w:w="0" w:type="dxa"/>
            <w:right w:w="10" w:type="dxa"/>
          </w:tblCellMar>
        </w:tblPrEx>
        <w:trPr>
          <w:trHeight w:val="454"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BD4180E">
            <w:pPr>
              <w:spacing w:line="280" w:lineRule="exact"/>
              <w:rPr>
                <w:rFonts w:ascii="宋体" w:hAnsi="宋体" w:cs="宋体"/>
                <w:color w:val="auto"/>
                <w:sz w:val="21"/>
                <w:szCs w:val="21"/>
                <w:highlight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704CA0A">
            <w:pPr>
              <w:spacing w:line="280" w:lineRule="exact"/>
              <w:rPr>
                <w:rFonts w:ascii="宋体" w:hAnsi="宋体" w:cs="宋体"/>
                <w:color w:val="auto"/>
                <w:sz w:val="21"/>
                <w:szCs w:val="21"/>
                <w:highlight w:val="none"/>
              </w:rPr>
            </w:pPr>
          </w:p>
        </w:tc>
        <w:tc>
          <w:tcPr>
            <w:tcW w:w="1552" w:type="dxa"/>
            <w:tcBorders>
              <w:top w:val="single" w:color="auto" w:sz="4" w:space="0"/>
              <w:left w:val="single" w:color="auto" w:sz="4" w:space="0"/>
              <w:bottom w:val="single" w:color="auto" w:sz="4" w:space="0"/>
              <w:right w:val="single" w:color="auto" w:sz="4" w:space="0"/>
            </w:tcBorders>
            <w:shd w:val="clear" w:color="auto" w:fill="FFFFFF"/>
            <w:vAlign w:val="center"/>
          </w:tcPr>
          <w:p w14:paraId="6B0BC642">
            <w:pPr>
              <w:pStyle w:val="36"/>
              <w:spacing w:line="280" w:lineRule="exact"/>
              <w:jc w:val="center"/>
              <w:rPr>
                <w:color w:val="auto"/>
                <w:sz w:val="21"/>
                <w:szCs w:val="21"/>
                <w:highlight w:val="none"/>
              </w:rPr>
            </w:pPr>
            <w:r>
              <w:rPr>
                <w:rFonts w:hint="eastAsia"/>
                <w:color w:val="auto"/>
                <w:sz w:val="21"/>
                <w:szCs w:val="21"/>
                <w:highlight w:val="none"/>
                <w:lang w:eastAsia="zh-CN"/>
              </w:rPr>
              <w:t>比选</w:t>
            </w:r>
            <w:r>
              <w:rPr>
                <w:rFonts w:hint="eastAsia"/>
                <w:color w:val="auto"/>
                <w:sz w:val="21"/>
                <w:szCs w:val="21"/>
                <w:highlight w:val="none"/>
              </w:rPr>
              <w:t>有效期</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6AF4427D">
            <w:pPr>
              <w:pStyle w:val="36"/>
              <w:spacing w:line="280" w:lineRule="exact"/>
              <w:jc w:val="both"/>
              <w:rPr>
                <w:color w:val="auto"/>
                <w:sz w:val="21"/>
                <w:szCs w:val="21"/>
                <w:highlight w:val="none"/>
              </w:rPr>
            </w:pPr>
            <w:r>
              <w:rPr>
                <w:rFonts w:hint="eastAsia"/>
                <w:color w:val="auto"/>
                <w:sz w:val="21"/>
                <w:szCs w:val="21"/>
                <w:highlight w:val="none"/>
              </w:rPr>
              <w:t>符合第二章</w:t>
            </w:r>
            <w:r>
              <w:rPr>
                <w:rFonts w:hint="eastAsia"/>
                <w:color w:val="auto"/>
                <w:sz w:val="21"/>
                <w:szCs w:val="21"/>
                <w:highlight w:val="none"/>
                <w:lang w:val="zh-CN" w:eastAsia="zh-CN" w:bidi="zh-CN"/>
              </w:rPr>
              <w:t>“比选人</w:t>
            </w:r>
            <w:r>
              <w:rPr>
                <w:rFonts w:hint="eastAsia"/>
                <w:color w:val="auto"/>
                <w:sz w:val="21"/>
                <w:szCs w:val="21"/>
                <w:highlight w:val="none"/>
              </w:rPr>
              <w:t>须知”第</w:t>
            </w:r>
            <w:r>
              <w:rPr>
                <w:rFonts w:hint="eastAsia"/>
                <w:color w:val="auto"/>
                <w:sz w:val="21"/>
                <w:szCs w:val="21"/>
                <w:highlight w:val="none"/>
                <w:lang w:val="en-US" w:eastAsia="zh-CN" w:bidi="en-US"/>
              </w:rPr>
              <w:t>3.3.1</w:t>
            </w:r>
            <w:r>
              <w:rPr>
                <w:rFonts w:hint="eastAsia"/>
                <w:color w:val="auto"/>
                <w:sz w:val="21"/>
                <w:szCs w:val="21"/>
                <w:highlight w:val="none"/>
              </w:rPr>
              <w:t>项规定</w:t>
            </w:r>
          </w:p>
        </w:tc>
      </w:tr>
      <w:tr w14:paraId="6C7A3B53">
        <w:tblPrEx>
          <w:tblCellMar>
            <w:top w:w="0" w:type="dxa"/>
            <w:left w:w="10" w:type="dxa"/>
            <w:bottom w:w="0" w:type="dxa"/>
            <w:right w:w="10" w:type="dxa"/>
          </w:tblCellMar>
        </w:tblPrEx>
        <w:trPr>
          <w:trHeight w:val="454"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DAAB251">
            <w:pPr>
              <w:spacing w:line="280" w:lineRule="exact"/>
              <w:rPr>
                <w:rFonts w:ascii="宋体" w:hAnsi="宋体" w:cs="宋体"/>
                <w:color w:val="auto"/>
                <w:sz w:val="21"/>
                <w:szCs w:val="21"/>
                <w:highlight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39628EE">
            <w:pPr>
              <w:spacing w:line="280" w:lineRule="exact"/>
              <w:rPr>
                <w:rFonts w:ascii="宋体" w:hAnsi="宋体" w:cs="宋体"/>
                <w:color w:val="auto"/>
                <w:sz w:val="21"/>
                <w:szCs w:val="21"/>
                <w:highlight w:val="none"/>
              </w:rPr>
            </w:pPr>
          </w:p>
        </w:tc>
        <w:tc>
          <w:tcPr>
            <w:tcW w:w="1552" w:type="dxa"/>
            <w:tcBorders>
              <w:top w:val="single" w:color="auto" w:sz="4" w:space="0"/>
              <w:left w:val="single" w:color="auto" w:sz="4" w:space="0"/>
              <w:bottom w:val="single" w:color="auto" w:sz="4" w:space="0"/>
              <w:right w:val="single" w:color="auto" w:sz="4" w:space="0"/>
            </w:tcBorders>
            <w:shd w:val="clear" w:color="auto" w:fill="FFFFFF"/>
            <w:vAlign w:val="center"/>
          </w:tcPr>
          <w:p w14:paraId="23393ADC">
            <w:pPr>
              <w:pStyle w:val="36"/>
              <w:spacing w:line="280" w:lineRule="exact"/>
              <w:jc w:val="center"/>
              <w:rPr>
                <w:color w:val="auto"/>
                <w:sz w:val="21"/>
                <w:szCs w:val="21"/>
                <w:highlight w:val="none"/>
              </w:rPr>
            </w:pPr>
            <w:r>
              <w:rPr>
                <w:rFonts w:hint="eastAsia"/>
                <w:color w:val="auto"/>
                <w:sz w:val="21"/>
                <w:szCs w:val="21"/>
                <w:highlight w:val="none"/>
                <w:lang w:eastAsia="zh-CN"/>
              </w:rPr>
              <w:t>比选</w:t>
            </w:r>
            <w:r>
              <w:rPr>
                <w:rFonts w:hint="eastAsia"/>
                <w:color w:val="auto"/>
                <w:sz w:val="21"/>
                <w:szCs w:val="21"/>
                <w:highlight w:val="none"/>
              </w:rPr>
              <w:t>保证金</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73306513">
            <w:pPr>
              <w:pStyle w:val="36"/>
              <w:spacing w:line="280" w:lineRule="exact"/>
              <w:jc w:val="both"/>
              <w:rPr>
                <w:color w:val="auto"/>
                <w:sz w:val="21"/>
                <w:szCs w:val="21"/>
                <w:highlight w:val="none"/>
              </w:rPr>
            </w:pPr>
            <w:r>
              <w:rPr>
                <w:rFonts w:hint="eastAsia"/>
                <w:color w:val="auto"/>
                <w:sz w:val="21"/>
                <w:szCs w:val="21"/>
                <w:highlight w:val="none"/>
              </w:rPr>
              <w:t>符合第二章</w:t>
            </w:r>
            <w:r>
              <w:rPr>
                <w:rFonts w:hint="eastAsia"/>
                <w:color w:val="auto"/>
                <w:sz w:val="21"/>
                <w:szCs w:val="21"/>
                <w:highlight w:val="none"/>
                <w:lang w:val="zh-CN" w:eastAsia="zh-CN" w:bidi="zh-CN"/>
              </w:rPr>
              <w:t>“比选人</w:t>
            </w:r>
            <w:r>
              <w:rPr>
                <w:rFonts w:hint="eastAsia"/>
                <w:color w:val="auto"/>
                <w:sz w:val="21"/>
                <w:szCs w:val="21"/>
                <w:highlight w:val="none"/>
              </w:rPr>
              <w:t>须知</w:t>
            </w:r>
            <w:r>
              <w:rPr>
                <w:rFonts w:hint="eastAsia"/>
                <w:color w:val="auto"/>
                <w:sz w:val="21"/>
                <w:szCs w:val="21"/>
                <w:highlight w:val="none"/>
                <w:lang w:val="zh-CN" w:eastAsia="zh-CN" w:bidi="zh-CN"/>
              </w:rPr>
              <w:t>”第</w:t>
            </w:r>
            <w:r>
              <w:rPr>
                <w:rFonts w:hint="eastAsia"/>
                <w:color w:val="auto"/>
                <w:sz w:val="21"/>
                <w:szCs w:val="21"/>
                <w:highlight w:val="none"/>
                <w:lang w:val="en-US" w:eastAsia="zh-CN" w:bidi="en-US"/>
              </w:rPr>
              <w:t>3.4.1</w:t>
            </w:r>
            <w:r>
              <w:rPr>
                <w:rFonts w:hint="eastAsia"/>
                <w:color w:val="auto"/>
                <w:sz w:val="21"/>
                <w:szCs w:val="21"/>
                <w:highlight w:val="none"/>
              </w:rPr>
              <w:t>项规定</w:t>
            </w:r>
          </w:p>
        </w:tc>
      </w:tr>
      <w:tr w14:paraId="2D7BB8EC">
        <w:tblPrEx>
          <w:tblCellMar>
            <w:top w:w="0" w:type="dxa"/>
            <w:left w:w="10" w:type="dxa"/>
            <w:bottom w:w="0" w:type="dxa"/>
            <w:right w:w="10" w:type="dxa"/>
          </w:tblCellMar>
        </w:tblPrEx>
        <w:trPr>
          <w:trHeight w:val="454"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BBB0228">
            <w:pPr>
              <w:spacing w:line="280" w:lineRule="exact"/>
              <w:rPr>
                <w:rFonts w:ascii="宋体" w:hAnsi="宋体" w:cs="宋体"/>
                <w:color w:val="auto"/>
                <w:sz w:val="21"/>
                <w:szCs w:val="21"/>
                <w:highlight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2A04577">
            <w:pPr>
              <w:spacing w:line="280" w:lineRule="exact"/>
              <w:rPr>
                <w:rFonts w:ascii="宋体" w:hAnsi="宋体" w:cs="宋体"/>
                <w:color w:val="auto"/>
                <w:sz w:val="21"/>
                <w:szCs w:val="21"/>
                <w:highlight w:val="none"/>
              </w:rPr>
            </w:pPr>
          </w:p>
        </w:tc>
        <w:tc>
          <w:tcPr>
            <w:tcW w:w="1552" w:type="dxa"/>
            <w:tcBorders>
              <w:top w:val="single" w:color="auto" w:sz="4" w:space="0"/>
              <w:left w:val="single" w:color="auto" w:sz="4" w:space="0"/>
              <w:bottom w:val="single" w:color="auto" w:sz="4" w:space="0"/>
              <w:right w:val="single" w:color="auto" w:sz="4" w:space="0"/>
            </w:tcBorders>
            <w:shd w:val="clear" w:color="auto" w:fill="FFFFFF"/>
            <w:vAlign w:val="center"/>
          </w:tcPr>
          <w:p w14:paraId="168BFC09">
            <w:pPr>
              <w:pStyle w:val="36"/>
              <w:spacing w:line="280" w:lineRule="exact"/>
              <w:jc w:val="center"/>
              <w:rPr>
                <w:color w:val="auto"/>
                <w:sz w:val="21"/>
                <w:szCs w:val="21"/>
                <w:highlight w:val="none"/>
              </w:rPr>
            </w:pPr>
            <w:r>
              <w:rPr>
                <w:rFonts w:hint="eastAsia"/>
                <w:color w:val="auto"/>
                <w:sz w:val="21"/>
                <w:szCs w:val="21"/>
                <w:highlight w:val="none"/>
              </w:rPr>
              <w:t>权利义务</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25CCA061">
            <w:pPr>
              <w:pStyle w:val="36"/>
              <w:spacing w:line="280" w:lineRule="exact"/>
              <w:rPr>
                <w:color w:val="auto"/>
                <w:sz w:val="21"/>
                <w:szCs w:val="21"/>
                <w:highlight w:val="none"/>
              </w:rPr>
            </w:pPr>
            <w:r>
              <w:rPr>
                <w:rFonts w:hint="eastAsia"/>
                <w:color w:val="auto"/>
                <w:sz w:val="21"/>
                <w:szCs w:val="21"/>
                <w:highlight w:val="none"/>
              </w:rPr>
              <w:t>承诺完全响应</w:t>
            </w:r>
            <w:r>
              <w:rPr>
                <w:rFonts w:hint="eastAsia"/>
                <w:color w:val="auto"/>
                <w:sz w:val="21"/>
                <w:szCs w:val="21"/>
                <w:highlight w:val="none"/>
                <w:lang w:eastAsia="zh-CN"/>
              </w:rPr>
              <w:t>招选文件</w:t>
            </w:r>
            <w:r>
              <w:rPr>
                <w:rFonts w:hint="eastAsia"/>
                <w:color w:val="auto"/>
                <w:sz w:val="21"/>
                <w:szCs w:val="21"/>
                <w:highlight w:val="none"/>
                <w:lang w:val="zh-CN" w:eastAsia="zh-CN"/>
              </w:rPr>
              <w:t>“合同</w:t>
            </w:r>
            <w:r>
              <w:rPr>
                <w:rFonts w:hint="eastAsia"/>
                <w:color w:val="auto"/>
                <w:sz w:val="21"/>
                <w:szCs w:val="21"/>
                <w:highlight w:val="none"/>
              </w:rPr>
              <w:t>条款及格式”中的实质性要求和条件</w:t>
            </w:r>
          </w:p>
        </w:tc>
      </w:tr>
      <w:tr w14:paraId="0F0A71D9">
        <w:tblPrEx>
          <w:tblCellMar>
            <w:top w:w="0" w:type="dxa"/>
            <w:left w:w="10" w:type="dxa"/>
            <w:bottom w:w="0" w:type="dxa"/>
            <w:right w:w="10" w:type="dxa"/>
          </w:tblCellMar>
        </w:tblPrEx>
        <w:trPr>
          <w:trHeight w:val="454" w:hRule="atLeas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1BA7CA6">
            <w:pPr>
              <w:spacing w:line="280" w:lineRule="exact"/>
              <w:rPr>
                <w:rFonts w:ascii="宋体" w:hAnsi="宋体" w:cs="宋体"/>
                <w:color w:val="auto"/>
                <w:sz w:val="21"/>
                <w:szCs w:val="21"/>
                <w:highlight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197571F">
            <w:pPr>
              <w:spacing w:line="280" w:lineRule="exact"/>
              <w:rPr>
                <w:rFonts w:ascii="宋体" w:hAnsi="宋体" w:cs="宋体"/>
                <w:color w:val="auto"/>
                <w:sz w:val="21"/>
                <w:szCs w:val="21"/>
                <w:highlight w:val="none"/>
              </w:rPr>
            </w:pPr>
          </w:p>
        </w:tc>
        <w:tc>
          <w:tcPr>
            <w:tcW w:w="1552" w:type="dxa"/>
            <w:tcBorders>
              <w:top w:val="single" w:color="auto" w:sz="4" w:space="0"/>
              <w:left w:val="single" w:color="auto" w:sz="4" w:space="0"/>
              <w:bottom w:val="single" w:color="auto" w:sz="4" w:space="0"/>
              <w:right w:val="single" w:color="auto" w:sz="4" w:space="0"/>
            </w:tcBorders>
            <w:shd w:val="clear" w:color="auto" w:fill="FFFFFF"/>
            <w:vAlign w:val="center"/>
          </w:tcPr>
          <w:p w14:paraId="10A114E0">
            <w:pPr>
              <w:pStyle w:val="36"/>
              <w:spacing w:line="280" w:lineRule="exact"/>
              <w:jc w:val="center"/>
              <w:rPr>
                <w:color w:val="auto"/>
                <w:sz w:val="21"/>
                <w:szCs w:val="21"/>
                <w:highlight w:val="none"/>
              </w:rPr>
            </w:pPr>
            <w:r>
              <w:rPr>
                <w:rFonts w:hint="eastAsia"/>
                <w:color w:val="auto"/>
                <w:sz w:val="21"/>
                <w:szCs w:val="21"/>
                <w:highlight w:val="none"/>
                <w:lang w:eastAsia="zh-CN"/>
              </w:rPr>
              <w:t>比选</w:t>
            </w:r>
            <w:r>
              <w:rPr>
                <w:rFonts w:hint="eastAsia"/>
                <w:color w:val="auto"/>
                <w:sz w:val="21"/>
                <w:szCs w:val="21"/>
                <w:highlight w:val="none"/>
              </w:rPr>
              <w:t>报价</w:t>
            </w:r>
          </w:p>
        </w:tc>
        <w:tc>
          <w:tcPr>
            <w:tcW w:w="6579" w:type="dxa"/>
            <w:tcBorders>
              <w:top w:val="single" w:color="auto" w:sz="4" w:space="0"/>
              <w:left w:val="single" w:color="auto" w:sz="4" w:space="0"/>
              <w:bottom w:val="single" w:color="auto" w:sz="4" w:space="0"/>
              <w:right w:val="single" w:color="auto" w:sz="4" w:space="0"/>
            </w:tcBorders>
            <w:shd w:val="clear" w:color="auto" w:fill="FFFFFF"/>
            <w:vAlign w:val="center"/>
          </w:tcPr>
          <w:p w14:paraId="0EF56955">
            <w:pPr>
              <w:pStyle w:val="36"/>
              <w:spacing w:line="280" w:lineRule="exact"/>
              <w:rPr>
                <w:color w:val="auto"/>
                <w:sz w:val="21"/>
                <w:szCs w:val="21"/>
                <w:highlight w:val="none"/>
                <w:lang w:val="en-US" w:eastAsia="zh-CN"/>
              </w:rPr>
            </w:pPr>
            <w:r>
              <w:rPr>
                <w:rFonts w:hint="eastAsia"/>
                <w:color w:val="auto"/>
                <w:sz w:val="21"/>
                <w:szCs w:val="21"/>
                <w:highlight w:val="none"/>
                <w:lang w:val="en-US" w:eastAsia="zh-CN"/>
              </w:rPr>
              <w:t>比选</w:t>
            </w:r>
            <w:r>
              <w:rPr>
                <w:rFonts w:hint="eastAsia"/>
                <w:color w:val="auto"/>
                <w:sz w:val="21"/>
                <w:szCs w:val="21"/>
                <w:highlight w:val="none"/>
                <w:lang w:eastAsia="zh-CN"/>
              </w:rPr>
              <w:t>报价不超过最高限价，否则做否决比选处理。</w:t>
            </w:r>
          </w:p>
        </w:tc>
      </w:tr>
      <w:tr w14:paraId="1F3E63D2">
        <w:tblPrEx>
          <w:tblCellMar>
            <w:top w:w="0" w:type="dxa"/>
            <w:left w:w="10" w:type="dxa"/>
            <w:bottom w:w="0" w:type="dxa"/>
            <w:right w:w="10" w:type="dxa"/>
          </w:tblCellMar>
        </w:tblPrEx>
        <w:trPr>
          <w:trHeight w:val="454" w:hRule="atLeast"/>
          <w:jc w:val="center"/>
        </w:trPr>
        <w:tc>
          <w:tcPr>
            <w:tcW w:w="973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4A1E9276">
            <w:pPr>
              <w:pStyle w:val="36"/>
              <w:tabs>
                <w:tab w:val="left" w:pos="200"/>
              </w:tabs>
              <w:spacing w:line="280" w:lineRule="exact"/>
              <w:ind w:left="200" w:hanging="200"/>
              <w:jc w:val="both"/>
              <w:rPr>
                <w:color w:val="auto"/>
                <w:sz w:val="21"/>
                <w:szCs w:val="21"/>
                <w:highlight w:val="none"/>
                <w:lang w:val="en-US" w:eastAsia="zh-CN"/>
              </w:rPr>
            </w:pPr>
            <w:r>
              <w:rPr>
                <w:rFonts w:hint="eastAsia"/>
                <w:color w:val="auto"/>
                <w:sz w:val="21"/>
                <w:szCs w:val="21"/>
                <w:highlight w:val="none"/>
                <w:lang w:val="en-US" w:eastAsia="zh-CN"/>
              </w:rPr>
              <w:t>以上评审有一条不通过，则视为响应性评审标准不通过，不进入下一步评审，其比选予以否决。</w:t>
            </w:r>
          </w:p>
        </w:tc>
      </w:tr>
      <w:tr w14:paraId="0A001D40">
        <w:tblPrEx>
          <w:tblCellMar>
            <w:top w:w="0" w:type="dxa"/>
            <w:left w:w="10" w:type="dxa"/>
            <w:bottom w:w="0" w:type="dxa"/>
            <w:right w:w="10" w:type="dxa"/>
          </w:tblCellMar>
        </w:tblPrEx>
        <w:trPr>
          <w:trHeight w:val="454" w:hRule="atLeast"/>
          <w:jc w:val="center"/>
        </w:trPr>
        <w:tc>
          <w:tcPr>
            <w:tcW w:w="973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9877F00">
            <w:pPr>
              <w:pStyle w:val="36"/>
              <w:spacing w:line="280" w:lineRule="exact"/>
              <w:rPr>
                <w:color w:val="auto"/>
                <w:sz w:val="21"/>
                <w:szCs w:val="21"/>
                <w:highlight w:val="none"/>
              </w:rPr>
            </w:pPr>
            <w:r>
              <w:rPr>
                <w:rFonts w:hint="eastAsia"/>
                <w:color w:val="auto"/>
                <w:sz w:val="21"/>
                <w:szCs w:val="21"/>
                <w:highlight w:val="none"/>
              </w:rPr>
              <w:t>补充说明：</w:t>
            </w:r>
          </w:p>
          <w:p w14:paraId="55260CA3">
            <w:pPr>
              <w:pStyle w:val="36"/>
              <w:spacing w:line="280" w:lineRule="exact"/>
              <w:rPr>
                <w:color w:val="auto"/>
                <w:sz w:val="21"/>
                <w:szCs w:val="21"/>
                <w:highlight w:val="none"/>
              </w:rPr>
            </w:pPr>
            <w:r>
              <w:rPr>
                <w:rFonts w:hint="eastAsia"/>
                <w:color w:val="auto"/>
                <w:sz w:val="21"/>
                <w:szCs w:val="21"/>
                <w:highlight w:val="none"/>
                <w:lang w:val="en-US" w:eastAsia="zh-CN"/>
              </w:rPr>
              <w:t>1.</w:t>
            </w:r>
            <w:r>
              <w:rPr>
                <w:rFonts w:hint="eastAsia"/>
                <w:color w:val="auto"/>
                <w:sz w:val="21"/>
                <w:szCs w:val="21"/>
                <w:highlight w:val="none"/>
                <w:lang w:eastAsia="zh-CN"/>
              </w:rPr>
              <w:t>招选</w:t>
            </w:r>
            <w:r>
              <w:rPr>
                <w:rFonts w:hint="eastAsia"/>
                <w:color w:val="auto"/>
                <w:sz w:val="21"/>
                <w:szCs w:val="21"/>
                <w:highlight w:val="none"/>
              </w:rPr>
              <w:t>委员会经评审否决不合格</w:t>
            </w:r>
            <w:r>
              <w:rPr>
                <w:rFonts w:hint="eastAsia"/>
                <w:color w:val="auto"/>
                <w:sz w:val="21"/>
                <w:szCs w:val="21"/>
                <w:highlight w:val="none"/>
                <w:lang w:eastAsia="zh-CN"/>
              </w:rPr>
              <w:t>比选</w:t>
            </w:r>
            <w:r>
              <w:rPr>
                <w:rFonts w:hint="eastAsia"/>
                <w:color w:val="auto"/>
                <w:sz w:val="21"/>
                <w:szCs w:val="21"/>
                <w:highlight w:val="none"/>
              </w:rPr>
              <w:t>后，因有效</w:t>
            </w:r>
            <w:r>
              <w:rPr>
                <w:rFonts w:hint="eastAsia"/>
                <w:color w:val="auto"/>
                <w:sz w:val="21"/>
                <w:szCs w:val="21"/>
                <w:highlight w:val="none"/>
                <w:lang w:eastAsia="zh-CN"/>
              </w:rPr>
              <w:t>比选</w:t>
            </w:r>
            <w:r>
              <w:rPr>
                <w:rFonts w:hint="eastAsia"/>
                <w:color w:val="auto"/>
                <w:sz w:val="21"/>
                <w:szCs w:val="21"/>
                <w:highlight w:val="none"/>
              </w:rPr>
              <w:t>（指通过初步评审而未被否决的</w:t>
            </w:r>
            <w:r>
              <w:rPr>
                <w:rFonts w:hint="eastAsia"/>
                <w:color w:val="auto"/>
                <w:sz w:val="21"/>
                <w:szCs w:val="21"/>
                <w:highlight w:val="none"/>
                <w:lang w:eastAsia="zh-CN"/>
              </w:rPr>
              <w:t>比选</w:t>
            </w:r>
            <w:r>
              <w:rPr>
                <w:rFonts w:hint="eastAsia"/>
                <w:color w:val="auto"/>
                <w:sz w:val="21"/>
                <w:szCs w:val="21"/>
                <w:highlight w:val="none"/>
              </w:rPr>
              <w:t>，下同）不足三个的使得</w:t>
            </w:r>
            <w:r>
              <w:rPr>
                <w:rFonts w:hint="eastAsia"/>
                <w:color w:val="auto"/>
                <w:sz w:val="21"/>
                <w:szCs w:val="21"/>
                <w:highlight w:val="none"/>
                <w:lang w:eastAsia="zh-CN"/>
              </w:rPr>
              <w:t>比选</w:t>
            </w:r>
            <w:r>
              <w:rPr>
                <w:rFonts w:hint="eastAsia"/>
                <w:color w:val="auto"/>
                <w:sz w:val="21"/>
                <w:szCs w:val="21"/>
                <w:highlight w:val="none"/>
              </w:rPr>
              <w:t>明显缺乏竞争的，可以否决全部</w:t>
            </w:r>
            <w:r>
              <w:rPr>
                <w:rFonts w:hint="eastAsia"/>
                <w:color w:val="auto"/>
                <w:sz w:val="21"/>
                <w:szCs w:val="21"/>
                <w:highlight w:val="none"/>
                <w:lang w:eastAsia="zh-CN"/>
              </w:rPr>
              <w:t>比选</w:t>
            </w:r>
            <w:r>
              <w:rPr>
                <w:rFonts w:hint="eastAsia"/>
                <w:color w:val="auto"/>
                <w:sz w:val="21"/>
                <w:szCs w:val="21"/>
                <w:highlight w:val="none"/>
              </w:rPr>
              <w:t>。</w:t>
            </w:r>
          </w:p>
          <w:p w14:paraId="56FF1A9C">
            <w:pPr>
              <w:pStyle w:val="36"/>
              <w:spacing w:line="280" w:lineRule="exact"/>
              <w:ind w:firstLine="420" w:firstLineChars="20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）比选</w:t>
            </w:r>
            <w:r>
              <w:rPr>
                <w:rFonts w:hint="eastAsia"/>
                <w:color w:val="auto"/>
                <w:sz w:val="21"/>
                <w:szCs w:val="21"/>
                <w:highlight w:val="none"/>
              </w:rPr>
              <w:t>明显缺乏竞争由</w:t>
            </w:r>
            <w:r>
              <w:rPr>
                <w:rFonts w:hint="eastAsia"/>
                <w:color w:val="auto"/>
                <w:sz w:val="21"/>
                <w:szCs w:val="21"/>
                <w:highlight w:val="none"/>
                <w:lang w:eastAsia="zh-CN"/>
              </w:rPr>
              <w:t>招选</w:t>
            </w:r>
            <w:r>
              <w:rPr>
                <w:rFonts w:hint="eastAsia"/>
                <w:color w:val="auto"/>
                <w:sz w:val="21"/>
                <w:szCs w:val="21"/>
                <w:highlight w:val="none"/>
              </w:rPr>
              <w:t>委员会认定：</w:t>
            </w:r>
            <w:r>
              <w:rPr>
                <w:rFonts w:hint="eastAsia"/>
                <w:color w:val="auto"/>
                <w:sz w:val="21"/>
                <w:szCs w:val="21"/>
                <w:highlight w:val="none"/>
                <w:lang w:eastAsia="zh-CN"/>
              </w:rPr>
              <w:t>比选人</w:t>
            </w:r>
            <w:r>
              <w:rPr>
                <w:rFonts w:hint="eastAsia"/>
                <w:color w:val="auto"/>
                <w:sz w:val="21"/>
                <w:szCs w:val="21"/>
                <w:highlight w:val="none"/>
              </w:rPr>
              <w:t>是否具有竞争性应从其实力、信誉、</w:t>
            </w:r>
            <w:r>
              <w:rPr>
                <w:rFonts w:hint="eastAsia"/>
                <w:color w:val="auto"/>
                <w:sz w:val="21"/>
                <w:szCs w:val="21"/>
                <w:highlight w:val="none"/>
                <w:lang w:eastAsia="zh-CN"/>
              </w:rPr>
              <w:t>供货及售后服务方案</w:t>
            </w:r>
            <w:r>
              <w:rPr>
                <w:rFonts w:hint="eastAsia"/>
                <w:color w:val="auto"/>
                <w:sz w:val="21"/>
                <w:szCs w:val="21"/>
                <w:highlight w:val="none"/>
              </w:rPr>
              <w:t>及</w:t>
            </w:r>
            <w:r>
              <w:rPr>
                <w:rFonts w:hint="eastAsia"/>
                <w:color w:val="auto"/>
                <w:sz w:val="21"/>
                <w:szCs w:val="21"/>
                <w:highlight w:val="none"/>
                <w:lang w:eastAsia="zh-CN"/>
              </w:rPr>
              <w:t>比选</w:t>
            </w:r>
            <w:r>
              <w:rPr>
                <w:rFonts w:hint="eastAsia"/>
                <w:color w:val="auto"/>
                <w:sz w:val="21"/>
                <w:szCs w:val="21"/>
                <w:highlight w:val="none"/>
              </w:rPr>
              <w:t>报价等方面认定。</w:t>
            </w:r>
          </w:p>
          <w:p w14:paraId="63D7A89B">
            <w:pPr>
              <w:pStyle w:val="36"/>
              <w:spacing w:line="280" w:lineRule="exact"/>
              <w:ind w:firstLine="420" w:firstLineChars="20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）招选</w:t>
            </w:r>
            <w:r>
              <w:rPr>
                <w:rFonts w:hint="eastAsia"/>
                <w:color w:val="auto"/>
                <w:sz w:val="21"/>
                <w:szCs w:val="21"/>
                <w:highlight w:val="none"/>
              </w:rPr>
              <w:t>委员会否决全部</w:t>
            </w:r>
            <w:r>
              <w:rPr>
                <w:rFonts w:hint="eastAsia"/>
                <w:color w:val="auto"/>
                <w:sz w:val="21"/>
                <w:szCs w:val="21"/>
                <w:highlight w:val="none"/>
                <w:lang w:eastAsia="zh-CN"/>
              </w:rPr>
              <w:t>比选</w:t>
            </w:r>
            <w:r>
              <w:rPr>
                <w:rFonts w:hint="eastAsia"/>
                <w:color w:val="auto"/>
                <w:sz w:val="21"/>
                <w:szCs w:val="21"/>
                <w:highlight w:val="none"/>
              </w:rPr>
              <w:t>的，应当在</w:t>
            </w:r>
            <w:r>
              <w:rPr>
                <w:rFonts w:hint="eastAsia"/>
                <w:color w:val="auto"/>
                <w:sz w:val="21"/>
                <w:szCs w:val="21"/>
                <w:highlight w:val="none"/>
                <w:lang w:eastAsia="zh-CN"/>
              </w:rPr>
              <w:t>招选</w:t>
            </w:r>
            <w:r>
              <w:rPr>
                <w:rFonts w:hint="eastAsia"/>
                <w:color w:val="auto"/>
                <w:sz w:val="21"/>
                <w:szCs w:val="21"/>
                <w:highlight w:val="none"/>
              </w:rPr>
              <w:t>报告中书面说明理由。</w:t>
            </w:r>
          </w:p>
          <w:p w14:paraId="7239EB18">
            <w:pPr>
              <w:pStyle w:val="36"/>
              <w:spacing w:line="280" w:lineRule="exact"/>
              <w:rPr>
                <w:color w:val="auto"/>
                <w:sz w:val="21"/>
                <w:szCs w:val="21"/>
                <w:highlight w:val="none"/>
              </w:rPr>
            </w:pPr>
            <w:r>
              <w:rPr>
                <w:rFonts w:hint="eastAsia"/>
                <w:color w:val="auto"/>
                <w:sz w:val="21"/>
                <w:szCs w:val="21"/>
                <w:highlight w:val="none"/>
                <w:lang w:val="en-US" w:eastAsia="zh-CN"/>
              </w:rPr>
              <w:t>2.</w:t>
            </w:r>
            <w:r>
              <w:rPr>
                <w:rFonts w:hint="eastAsia"/>
                <w:color w:val="auto"/>
                <w:sz w:val="21"/>
                <w:szCs w:val="21"/>
                <w:highlight w:val="none"/>
              </w:rPr>
              <w:t>在</w:t>
            </w:r>
            <w:r>
              <w:rPr>
                <w:rFonts w:hint="eastAsia"/>
                <w:color w:val="auto"/>
                <w:sz w:val="21"/>
                <w:szCs w:val="21"/>
                <w:highlight w:val="none"/>
                <w:lang w:eastAsia="zh-CN"/>
              </w:rPr>
              <w:t>招选</w:t>
            </w:r>
            <w:r>
              <w:rPr>
                <w:rFonts w:hint="eastAsia"/>
                <w:color w:val="auto"/>
                <w:sz w:val="21"/>
                <w:szCs w:val="21"/>
                <w:highlight w:val="none"/>
              </w:rPr>
              <w:t>结束后合同签订前，如在</w:t>
            </w:r>
            <w:r>
              <w:rPr>
                <w:rFonts w:hint="eastAsia"/>
                <w:color w:val="auto"/>
                <w:sz w:val="21"/>
                <w:szCs w:val="21"/>
                <w:highlight w:val="none"/>
                <w:lang w:eastAsia="zh-CN"/>
              </w:rPr>
              <w:t>招选</w:t>
            </w:r>
            <w:r>
              <w:rPr>
                <w:rFonts w:hint="eastAsia"/>
                <w:color w:val="auto"/>
                <w:sz w:val="21"/>
                <w:szCs w:val="21"/>
                <w:highlight w:val="none"/>
              </w:rPr>
              <w:t>过程中有未发现的细微偏差，</w:t>
            </w:r>
            <w:r>
              <w:rPr>
                <w:rFonts w:hint="eastAsia"/>
                <w:color w:val="auto"/>
                <w:sz w:val="21"/>
                <w:szCs w:val="21"/>
                <w:highlight w:val="none"/>
                <w:lang w:val="en-US" w:eastAsia="zh-CN"/>
              </w:rPr>
              <w:t>招</w:t>
            </w:r>
            <w:r>
              <w:rPr>
                <w:rFonts w:hint="eastAsia"/>
                <w:color w:val="auto"/>
                <w:sz w:val="21"/>
                <w:szCs w:val="21"/>
                <w:highlight w:val="none"/>
                <w:lang w:eastAsia="zh-CN"/>
              </w:rPr>
              <w:t>选</w:t>
            </w:r>
            <w:r>
              <w:rPr>
                <w:rFonts w:hint="eastAsia"/>
                <w:color w:val="auto"/>
                <w:sz w:val="21"/>
                <w:szCs w:val="21"/>
                <w:highlight w:val="none"/>
              </w:rPr>
              <w:t>人应按本章细微偏差的修正原则进行修正，且</w:t>
            </w:r>
          </w:p>
          <w:p w14:paraId="1972A68F">
            <w:pPr>
              <w:pStyle w:val="36"/>
              <w:spacing w:line="280" w:lineRule="exact"/>
              <w:ind w:firstLine="420" w:firstLineChars="20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若修正后的</w:t>
            </w:r>
            <w:r>
              <w:rPr>
                <w:rFonts w:hint="eastAsia"/>
                <w:color w:val="auto"/>
                <w:sz w:val="21"/>
                <w:szCs w:val="21"/>
                <w:highlight w:val="none"/>
                <w:lang w:eastAsia="zh-CN"/>
              </w:rPr>
              <w:t>比选</w:t>
            </w:r>
            <w:r>
              <w:rPr>
                <w:rFonts w:hint="eastAsia"/>
                <w:color w:val="auto"/>
                <w:sz w:val="21"/>
                <w:szCs w:val="21"/>
                <w:highlight w:val="none"/>
              </w:rPr>
              <w:t>总价高于中标价，以中标价为准；</w:t>
            </w:r>
          </w:p>
          <w:p w14:paraId="1E0A4C11">
            <w:pPr>
              <w:pStyle w:val="36"/>
              <w:spacing w:line="280" w:lineRule="exact"/>
              <w:ind w:firstLine="420" w:firstLineChars="20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rPr>
              <w:t>若修正后的总价低于中标价，则以修正后的各项价格和费用为准。</w:t>
            </w:r>
          </w:p>
          <w:p w14:paraId="552AFCA0">
            <w:pPr>
              <w:pStyle w:val="36"/>
              <w:spacing w:line="280" w:lineRule="exact"/>
              <w:rPr>
                <w:color w:val="auto"/>
                <w:sz w:val="21"/>
                <w:szCs w:val="21"/>
                <w:highlight w:val="none"/>
                <w:lang w:val="en-US" w:eastAsia="zh-CN"/>
              </w:rPr>
            </w:pPr>
            <w:r>
              <w:rPr>
                <w:rFonts w:hint="eastAsia"/>
                <w:color w:val="auto"/>
                <w:sz w:val="21"/>
                <w:szCs w:val="21"/>
                <w:highlight w:val="none"/>
                <w:lang w:val="en-US" w:eastAsia="zh-CN"/>
              </w:rPr>
              <w:t>3.</w:t>
            </w:r>
            <w:r>
              <w:rPr>
                <w:rFonts w:hint="eastAsia"/>
                <w:color w:val="auto"/>
                <w:sz w:val="21"/>
                <w:szCs w:val="21"/>
                <w:highlight w:val="none"/>
                <w:lang w:eastAsia="zh-CN"/>
              </w:rPr>
              <w:t>招选</w:t>
            </w:r>
            <w:r>
              <w:rPr>
                <w:rFonts w:hint="eastAsia"/>
                <w:color w:val="auto"/>
                <w:sz w:val="21"/>
                <w:szCs w:val="21"/>
                <w:highlight w:val="none"/>
              </w:rPr>
              <w:t>报告由</w:t>
            </w:r>
            <w:r>
              <w:rPr>
                <w:rFonts w:hint="eastAsia"/>
                <w:color w:val="auto"/>
                <w:sz w:val="21"/>
                <w:szCs w:val="21"/>
                <w:highlight w:val="none"/>
                <w:lang w:eastAsia="zh-CN"/>
              </w:rPr>
              <w:t>招选</w:t>
            </w:r>
            <w:r>
              <w:rPr>
                <w:rFonts w:hint="eastAsia"/>
                <w:color w:val="auto"/>
                <w:sz w:val="21"/>
                <w:szCs w:val="21"/>
                <w:highlight w:val="none"/>
              </w:rPr>
              <w:t>委员会全体成员签字，存在异议的评审项，以</w:t>
            </w:r>
            <w:r>
              <w:rPr>
                <w:rFonts w:hint="eastAsia"/>
                <w:color w:val="auto"/>
                <w:sz w:val="21"/>
                <w:szCs w:val="21"/>
                <w:highlight w:val="none"/>
                <w:lang w:eastAsia="zh-CN"/>
              </w:rPr>
              <w:t>招选</w:t>
            </w:r>
            <w:r>
              <w:rPr>
                <w:rFonts w:hint="eastAsia"/>
                <w:color w:val="auto"/>
                <w:sz w:val="21"/>
                <w:szCs w:val="21"/>
                <w:highlight w:val="none"/>
              </w:rPr>
              <w:t>委员会全体成员总人数的2/3人数通过的结论为</w:t>
            </w:r>
            <w:r>
              <w:rPr>
                <w:rFonts w:hint="eastAsia"/>
                <w:color w:val="auto"/>
                <w:sz w:val="21"/>
                <w:szCs w:val="21"/>
                <w:highlight w:val="none"/>
                <w:lang w:eastAsia="zh-CN"/>
              </w:rPr>
              <w:t>招选</w:t>
            </w:r>
            <w:r>
              <w:rPr>
                <w:rFonts w:hint="eastAsia"/>
                <w:color w:val="auto"/>
                <w:sz w:val="21"/>
                <w:szCs w:val="21"/>
                <w:highlight w:val="none"/>
              </w:rPr>
              <w:t>结论，对</w:t>
            </w:r>
            <w:r>
              <w:rPr>
                <w:rFonts w:hint="eastAsia"/>
                <w:color w:val="auto"/>
                <w:sz w:val="21"/>
                <w:szCs w:val="21"/>
                <w:highlight w:val="none"/>
                <w:lang w:eastAsia="zh-CN"/>
              </w:rPr>
              <w:t>招选</w:t>
            </w:r>
            <w:r>
              <w:rPr>
                <w:rFonts w:hint="eastAsia"/>
                <w:color w:val="auto"/>
                <w:sz w:val="21"/>
                <w:szCs w:val="21"/>
                <w:highlight w:val="none"/>
              </w:rPr>
              <w:t>结论持有异议的</w:t>
            </w:r>
            <w:r>
              <w:rPr>
                <w:rFonts w:hint="eastAsia"/>
                <w:color w:val="auto"/>
                <w:sz w:val="21"/>
                <w:szCs w:val="21"/>
                <w:highlight w:val="none"/>
                <w:lang w:eastAsia="zh-CN"/>
              </w:rPr>
              <w:t>招选委员会</w:t>
            </w:r>
            <w:r>
              <w:rPr>
                <w:rFonts w:hint="eastAsia"/>
                <w:color w:val="auto"/>
                <w:sz w:val="21"/>
                <w:szCs w:val="21"/>
                <w:highlight w:val="none"/>
              </w:rPr>
              <w:t>成员可以书面方式阐述其不同意见和理由。</w:t>
            </w:r>
            <w:r>
              <w:rPr>
                <w:rFonts w:hint="eastAsia"/>
                <w:color w:val="auto"/>
                <w:sz w:val="21"/>
                <w:szCs w:val="21"/>
                <w:highlight w:val="none"/>
                <w:lang w:eastAsia="zh-CN"/>
              </w:rPr>
              <w:t>招选委员会</w:t>
            </w:r>
            <w:r>
              <w:rPr>
                <w:rFonts w:hint="eastAsia"/>
                <w:color w:val="auto"/>
                <w:sz w:val="21"/>
                <w:szCs w:val="21"/>
                <w:highlight w:val="none"/>
              </w:rPr>
              <w:t>成员拒绝在</w:t>
            </w:r>
            <w:r>
              <w:rPr>
                <w:rFonts w:hint="eastAsia"/>
                <w:color w:val="auto"/>
                <w:sz w:val="21"/>
                <w:szCs w:val="21"/>
                <w:highlight w:val="none"/>
                <w:lang w:eastAsia="zh-CN"/>
              </w:rPr>
              <w:t>招选</w:t>
            </w:r>
            <w:r>
              <w:rPr>
                <w:rFonts w:hint="eastAsia"/>
                <w:color w:val="auto"/>
                <w:sz w:val="21"/>
                <w:szCs w:val="21"/>
                <w:highlight w:val="none"/>
              </w:rPr>
              <w:t>报告上签字且不陈述其不同意见和理由的，视为同意</w:t>
            </w:r>
            <w:r>
              <w:rPr>
                <w:rFonts w:hint="eastAsia"/>
                <w:color w:val="auto"/>
                <w:sz w:val="21"/>
                <w:szCs w:val="21"/>
                <w:highlight w:val="none"/>
                <w:lang w:eastAsia="zh-CN"/>
              </w:rPr>
              <w:t>招选</w:t>
            </w:r>
            <w:r>
              <w:rPr>
                <w:rFonts w:hint="eastAsia"/>
                <w:color w:val="auto"/>
                <w:sz w:val="21"/>
                <w:szCs w:val="21"/>
                <w:highlight w:val="none"/>
              </w:rPr>
              <w:t>结论。</w:t>
            </w:r>
            <w:r>
              <w:rPr>
                <w:rFonts w:hint="eastAsia"/>
                <w:color w:val="auto"/>
                <w:sz w:val="21"/>
                <w:szCs w:val="21"/>
                <w:highlight w:val="none"/>
                <w:lang w:eastAsia="zh-CN"/>
              </w:rPr>
              <w:t>招选委员会</w:t>
            </w:r>
            <w:r>
              <w:rPr>
                <w:rFonts w:hint="eastAsia"/>
                <w:color w:val="auto"/>
                <w:sz w:val="21"/>
                <w:szCs w:val="21"/>
                <w:highlight w:val="none"/>
              </w:rPr>
              <w:t>应当对此作出书面说明并记录在案。</w:t>
            </w:r>
          </w:p>
        </w:tc>
      </w:tr>
    </w:tbl>
    <w:p w14:paraId="39703D81">
      <w:pPr>
        <w:pStyle w:val="12"/>
        <w:kinsoku w:val="0"/>
        <w:overflowPunct w:val="0"/>
        <w:spacing w:before="0" w:line="360" w:lineRule="auto"/>
        <w:ind w:left="0"/>
        <w:jc w:val="center"/>
        <w:rPr>
          <w:rFonts w:cs="宋体"/>
          <w:b/>
          <w:color w:val="auto"/>
          <w:sz w:val="28"/>
          <w:highlight w:val="none"/>
        </w:rPr>
      </w:pPr>
    </w:p>
    <w:p w14:paraId="6712B734">
      <w:pPr>
        <w:pStyle w:val="12"/>
        <w:kinsoku w:val="0"/>
        <w:overflowPunct w:val="0"/>
        <w:spacing w:before="0" w:line="360" w:lineRule="auto"/>
        <w:ind w:left="0"/>
        <w:jc w:val="center"/>
        <w:rPr>
          <w:rFonts w:cs="宋体"/>
          <w:b/>
          <w:color w:val="auto"/>
          <w:sz w:val="28"/>
          <w:highlight w:val="none"/>
        </w:rPr>
      </w:pPr>
    </w:p>
    <w:p w14:paraId="57209E36">
      <w:pPr>
        <w:pStyle w:val="12"/>
        <w:kinsoku w:val="0"/>
        <w:overflowPunct w:val="0"/>
        <w:spacing w:before="0" w:line="360" w:lineRule="auto"/>
        <w:ind w:left="0"/>
        <w:jc w:val="center"/>
        <w:rPr>
          <w:rFonts w:cs="宋体"/>
          <w:b/>
          <w:color w:val="auto"/>
          <w:sz w:val="28"/>
          <w:highlight w:val="none"/>
        </w:rPr>
      </w:pPr>
    </w:p>
    <w:p w14:paraId="523AE8A9">
      <w:pPr>
        <w:pStyle w:val="12"/>
        <w:kinsoku w:val="0"/>
        <w:overflowPunct w:val="0"/>
        <w:spacing w:before="0" w:line="360" w:lineRule="auto"/>
        <w:ind w:left="0"/>
        <w:jc w:val="center"/>
        <w:rPr>
          <w:rFonts w:cs="宋体"/>
          <w:b/>
          <w:color w:val="auto"/>
          <w:sz w:val="28"/>
          <w:highlight w:val="none"/>
        </w:rPr>
      </w:pPr>
    </w:p>
    <w:p w14:paraId="619F8A67">
      <w:pPr>
        <w:pStyle w:val="12"/>
        <w:kinsoku w:val="0"/>
        <w:overflowPunct w:val="0"/>
        <w:spacing w:before="0" w:line="360" w:lineRule="auto"/>
        <w:ind w:left="0"/>
        <w:jc w:val="center"/>
        <w:rPr>
          <w:rFonts w:cs="宋体"/>
          <w:b/>
          <w:color w:val="auto"/>
          <w:sz w:val="28"/>
          <w:highlight w:val="none"/>
        </w:rPr>
      </w:pPr>
    </w:p>
    <w:p w14:paraId="6E8BBFDA">
      <w:pPr>
        <w:pStyle w:val="12"/>
        <w:kinsoku w:val="0"/>
        <w:overflowPunct w:val="0"/>
        <w:spacing w:before="0" w:line="360" w:lineRule="auto"/>
        <w:ind w:left="0"/>
        <w:jc w:val="center"/>
        <w:rPr>
          <w:rFonts w:cs="宋体"/>
          <w:b/>
          <w:color w:val="auto"/>
          <w:sz w:val="28"/>
          <w:highlight w:val="none"/>
        </w:rPr>
      </w:pPr>
    </w:p>
    <w:p w14:paraId="78908D65">
      <w:pPr>
        <w:pStyle w:val="12"/>
        <w:kinsoku w:val="0"/>
        <w:overflowPunct w:val="0"/>
        <w:spacing w:before="0" w:line="360" w:lineRule="auto"/>
        <w:ind w:left="0"/>
        <w:jc w:val="center"/>
        <w:rPr>
          <w:rFonts w:cs="宋体"/>
          <w:b/>
          <w:color w:val="auto"/>
          <w:sz w:val="28"/>
          <w:highlight w:val="none"/>
        </w:rPr>
      </w:pPr>
    </w:p>
    <w:p w14:paraId="6B008709">
      <w:pPr>
        <w:pStyle w:val="12"/>
        <w:kinsoku w:val="0"/>
        <w:overflowPunct w:val="0"/>
        <w:spacing w:before="0" w:line="360" w:lineRule="auto"/>
        <w:ind w:left="0"/>
        <w:jc w:val="center"/>
        <w:rPr>
          <w:rFonts w:cs="宋体"/>
          <w:b/>
          <w:color w:val="auto"/>
          <w:sz w:val="28"/>
          <w:highlight w:val="none"/>
        </w:rPr>
      </w:pPr>
    </w:p>
    <w:p w14:paraId="33731C2C">
      <w:pPr>
        <w:pStyle w:val="12"/>
        <w:kinsoku w:val="0"/>
        <w:overflowPunct w:val="0"/>
        <w:spacing w:before="0" w:line="360" w:lineRule="auto"/>
        <w:ind w:left="0"/>
        <w:jc w:val="center"/>
        <w:rPr>
          <w:rFonts w:cs="宋体"/>
          <w:b/>
          <w:color w:val="auto"/>
          <w:sz w:val="28"/>
          <w:highlight w:val="none"/>
        </w:rPr>
      </w:pPr>
    </w:p>
    <w:p w14:paraId="72A8B1A4">
      <w:pPr>
        <w:pStyle w:val="12"/>
        <w:kinsoku w:val="0"/>
        <w:overflowPunct w:val="0"/>
        <w:spacing w:before="0" w:line="360" w:lineRule="auto"/>
        <w:ind w:left="0"/>
        <w:jc w:val="center"/>
        <w:rPr>
          <w:rFonts w:cs="宋体"/>
          <w:b/>
          <w:color w:val="auto"/>
          <w:sz w:val="28"/>
          <w:highlight w:val="none"/>
        </w:rPr>
      </w:pPr>
    </w:p>
    <w:p w14:paraId="463EA9B8">
      <w:pPr>
        <w:pStyle w:val="12"/>
        <w:kinsoku w:val="0"/>
        <w:overflowPunct w:val="0"/>
        <w:spacing w:before="0" w:line="360" w:lineRule="auto"/>
        <w:ind w:left="0"/>
        <w:jc w:val="center"/>
        <w:rPr>
          <w:rFonts w:cs="宋体"/>
          <w:b/>
          <w:color w:val="auto"/>
          <w:sz w:val="28"/>
          <w:highlight w:val="none"/>
        </w:rPr>
      </w:pPr>
    </w:p>
    <w:p w14:paraId="766FED3C">
      <w:pPr>
        <w:pStyle w:val="12"/>
        <w:kinsoku w:val="0"/>
        <w:overflowPunct w:val="0"/>
        <w:spacing w:before="0" w:line="360" w:lineRule="auto"/>
        <w:ind w:left="0"/>
        <w:jc w:val="center"/>
        <w:rPr>
          <w:rFonts w:cs="宋体"/>
          <w:b/>
          <w:color w:val="auto"/>
          <w:sz w:val="28"/>
          <w:highlight w:val="none"/>
        </w:rPr>
      </w:pPr>
    </w:p>
    <w:p w14:paraId="5C9FEEBB">
      <w:pPr>
        <w:pStyle w:val="12"/>
        <w:kinsoku w:val="0"/>
        <w:overflowPunct w:val="0"/>
        <w:spacing w:before="0" w:line="360" w:lineRule="auto"/>
        <w:ind w:left="0"/>
        <w:jc w:val="center"/>
        <w:rPr>
          <w:rFonts w:cs="宋体"/>
          <w:b/>
          <w:color w:val="auto"/>
          <w:sz w:val="28"/>
          <w:highlight w:val="none"/>
        </w:rPr>
      </w:pPr>
    </w:p>
    <w:p w14:paraId="02BA1C71">
      <w:pPr>
        <w:pStyle w:val="12"/>
        <w:kinsoku w:val="0"/>
        <w:overflowPunct w:val="0"/>
        <w:spacing w:before="0" w:line="360" w:lineRule="auto"/>
        <w:ind w:left="0"/>
        <w:jc w:val="center"/>
        <w:rPr>
          <w:rFonts w:cs="宋体"/>
          <w:b/>
          <w:color w:val="auto"/>
          <w:sz w:val="28"/>
          <w:highlight w:val="none"/>
        </w:rPr>
      </w:pPr>
    </w:p>
    <w:p w14:paraId="2DF4DF75">
      <w:pPr>
        <w:pStyle w:val="12"/>
        <w:kinsoku w:val="0"/>
        <w:overflowPunct w:val="0"/>
        <w:spacing w:before="0" w:line="360" w:lineRule="auto"/>
        <w:ind w:left="0"/>
        <w:jc w:val="center"/>
        <w:rPr>
          <w:rFonts w:cs="宋体"/>
          <w:b/>
          <w:color w:val="auto"/>
          <w:sz w:val="28"/>
          <w:highlight w:val="none"/>
        </w:rPr>
      </w:pPr>
    </w:p>
    <w:p w14:paraId="1B7AFBFA">
      <w:pPr>
        <w:pStyle w:val="12"/>
        <w:kinsoku w:val="0"/>
        <w:overflowPunct w:val="0"/>
        <w:spacing w:before="0" w:line="360" w:lineRule="auto"/>
        <w:ind w:left="0"/>
        <w:jc w:val="center"/>
        <w:rPr>
          <w:rFonts w:cs="宋体"/>
          <w:b/>
          <w:color w:val="auto"/>
          <w:sz w:val="28"/>
          <w:highlight w:val="none"/>
        </w:rPr>
      </w:pPr>
    </w:p>
    <w:p w14:paraId="221CF3F5">
      <w:pPr>
        <w:pStyle w:val="12"/>
        <w:kinsoku w:val="0"/>
        <w:overflowPunct w:val="0"/>
        <w:spacing w:before="0" w:line="360" w:lineRule="auto"/>
        <w:ind w:left="0"/>
        <w:jc w:val="center"/>
        <w:rPr>
          <w:rFonts w:cs="宋体"/>
          <w:b/>
          <w:color w:val="auto"/>
          <w:sz w:val="28"/>
          <w:highlight w:val="none"/>
        </w:rPr>
      </w:pPr>
    </w:p>
    <w:p w14:paraId="7BC51E38">
      <w:pPr>
        <w:pStyle w:val="12"/>
        <w:kinsoku w:val="0"/>
        <w:overflowPunct w:val="0"/>
        <w:spacing w:before="0" w:line="360" w:lineRule="auto"/>
        <w:ind w:left="0"/>
        <w:jc w:val="center"/>
        <w:rPr>
          <w:rFonts w:cs="宋体"/>
          <w:b/>
          <w:color w:val="auto"/>
          <w:sz w:val="28"/>
          <w:highlight w:val="none"/>
        </w:rPr>
      </w:pPr>
    </w:p>
    <w:p w14:paraId="18EC74FD">
      <w:pPr>
        <w:pStyle w:val="12"/>
        <w:kinsoku w:val="0"/>
        <w:overflowPunct w:val="0"/>
        <w:spacing w:before="0" w:line="360" w:lineRule="auto"/>
        <w:ind w:left="0"/>
        <w:jc w:val="center"/>
        <w:rPr>
          <w:rFonts w:cs="宋体"/>
          <w:b/>
          <w:color w:val="auto"/>
          <w:sz w:val="28"/>
          <w:highlight w:val="none"/>
        </w:rPr>
      </w:pPr>
    </w:p>
    <w:p w14:paraId="47F9CE19">
      <w:pPr>
        <w:pStyle w:val="12"/>
        <w:kinsoku w:val="0"/>
        <w:overflowPunct w:val="0"/>
        <w:spacing w:before="0" w:line="360" w:lineRule="auto"/>
        <w:ind w:left="0"/>
        <w:jc w:val="center"/>
        <w:rPr>
          <w:rFonts w:cs="宋体"/>
          <w:b/>
          <w:color w:val="auto"/>
          <w:sz w:val="28"/>
          <w:highlight w:val="none"/>
        </w:rPr>
      </w:pPr>
    </w:p>
    <w:p w14:paraId="12466662">
      <w:pPr>
        <w:pStyle w:val="12"/>
        <w:kinsoku w:val="0"/>
        <w:overflowPunct w:val="0"/>
        <w:spacing w:before="0" w:line="360" w:lineRule="auto"/>
        <w:ind w:left="0"/>
        <w:jc w:val="center"/>
        <w:rPr>
          <w:rFonts w:cs="宋体"/>
          <w:b/>
          <w:color w:val="auto"/>
          <w:sz w:val="28"/>
          <w:highlight w:val="none"/>
        </w:rPr>
      </w:pPr>
    </w:p>
    <w:tbl>
      <w:tblPr>
        <w:tblStyle w:val="37"/>
        <w:tblW w:w="9667" w:type="dxa"/>
        <w:tblInd w:w="-2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3"/>
        <w:gridCol w:w="767"/>
        <w:gridCol w:w="8067"/>
      </w:tblGrid>
      <w:tr w14:paraId="02D41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600" w:type="dxa"/>
            <w:gridSpan w:val="2"/>
            <w:vAlign w:val="top"/>
          </w:tcPr>
          <w:p w14:paraId="77AE113D">
            <w:pPr>
              <w:pStyle w:val="43"/>
              <w:spacing w:before="296" w:line="228" w:lineRule="auto"/>
              <w:jc w:val="center"/>
              <w:rPr>
                <w:color w:val="auto"/>
                <w:highlight w:val="none"/>
              </w:rPr>
            </w:pPr>
            <w:r>
              <w:rPr>
                <w:b/>
                <w:bCs/>
                <w:color w:val="auto"/>
                <w:spacing w:val="5"/>
                <w:highlight w:val="none"/>
              </w:rPr>
              <w:t>条款号</w:t>
            </w:r>
          </w:p>
        </w:tc>
        <w:tc>
          <w:tcPr>
            <w:tcW w:w="8067" w:type="dxa"/>
            <w:vAlign w:val="top"/>
          </w:tcPr>
          <w:p w14:paraId="29786A73">
            <w:pPr>
              <w:pStyle w:val="43"/>
              <w:spacing w:before="296" w:line="228" w:lineRule="auto"/>
              <w:ind w:left="2578"/>
              <w:rPr>
                <w:color w:val="auto"/>
                <w:highlight w:val="none"/>
              </w:rPr>
            </w:pPr>
            <w:r>
              <w:rPr>
                <w:b/>
                <w:bCs/>
                <w:color w:val="auto"/>
                <w:spacing w:val="7"/>
                <w:highlight w:val="none"/>
              </w:rPr>
              <w:t>评审因素与评审标准</w:t>
            </w:r>
          </w:p>
        </w:tc>
      </w:tr>
      <w:tr w14:paraId="6DB5D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9" w:hRule="atLeast"/>
        </w:trPr>
        <w:tc>
          <w:tcPr>
            <w:tcW w:w="833" w:type="dxa"/>
            <w:vAlign w:val="top"/>
          </w:tcPr>
          <w:p w14:paraId="5BF6DD03">
            <w:pPr>
              <w:pStyle w:val="36"/>
              <w:spacing w:line="280" w:lineRule="exact"/>
              <w:ind w:firstLine="420" w:firstLineChars="200"/>
              <w:rPr>
                <w:rFonts w:hint="eastAsia"/>
                <w:color w:val="auto"/>
                <w:sz w:val="21"/>
                <w:szCs w:val="21"/>
                <w:highlight w:val="none"/>
              </w:rPr>
            </w:pPr>
          </w:p>
          <w:p w14:paraId="3FA12D45">
            <w:pPr>
              <w:pStyle w:val="36"/>
              <w:spacing w:line="280" w:lineRule="exact"/>
              <w:ind w:firstLine="420" w:firstLineChars="200"/>
              <w:rPr>
                <w:rFonts w:hint="eastAsia"/>
                <w:color w:val="auto"/>
                <w:sz w:val="21"/>
                <w:szCs w:val="21"/>
                <w:highlight w:val="none"/>
              </w:rPr>
            </w:pPr>
          </w:p>
          <w:p w14:paraId="41CF42C6">
            <w:pPr>
              <w:pStyle w:val="36"/>
              <w:spacing w:line="280" w:lineRule="exact"/>
              <w:ind w:firstLine="420" w:firstLineChars="200"/>
              <w:rPr>
                <w:rFonts w:hint="eastAsia"/>
                <w:color w:val="auto"/>
                <w:sz w:val="21"/>
                <w:szCs w:val="21"/>
                <w:highlight w:val="none"/>
              </w:rPr>
            </w:pPr>
          </w:p>
          <w:p w14:paraId="0841181E">
            <w:pPr>
              <w:pStyle w:val="36"/>
              <w:spacing w:line="280" w:lineRule="exact"/>
              <w:jc w:val="center"/>
              <w:rPr>
                <w:rFonts w:hint="eastAsia"/>
                <w:color w:val="auto"/>
                <w:sz w:val="21"/>
                <w:szCs w:val="21"/>
                <w:highlight w:val="none"/>
              </w:rPr>
            </w:pPr>
            <w:r>
              <w:rPr>
                <w:rFonts w:hint="eastAsia"/>
                <w:color w:val="auto"/>
                <w:sz w:val="21"/>
                <w:szCs w:val="21"/>
                <w:highlight w:val="none"/>
              </w:rPr>
              <w:t>2</w:t>
            </w:r>
          </w:p>
        </w:tc>
        <w:tc>
          <w:tcPr>
            <w:tcW w:w="767" w:type="dxa"/>
            <w:vAlign w:val="center"/>
          </w:tcPr>
          <w:p w14:paraId="15CA9EC2">
            <w:pPr>
              <w:pStyle w:val="36"/>
              <w:spacing w:line="280" w:lineRule="exact"/>
              <w:jc w:val="center"/>
              <w:rPr>
                <w:rFonts w:hint="eastAsia"/>
                <w:color w:val="auto"/>
                <w:sz w:val="21"/>
                <w:szCs w:val="21"/>
                <w:highlight w:val="none"/>
              </w:rPr>
            </w:pPr>
            <w:r>
              <w:rPr>
                <w:rFonts w:hint="eastAsia"/>
                <w:color w:val="auto"/>
                <w:sz w:val="21"/>
                <w:szCs w:val="21"/>
                <w:highlight w:val="none"/>
              </w:rPr>
              <w:t>分值构成 （总分  100 分）</w:t>
            </w:r>
          </w:p>
        </w:tc>
        <w:tc>
          <w:tcPr>
            <w:tcW w:w="8067" w:type="dxa"/>
            <w:vAlign w:val="top"/>
          </w:tcPr>
          <w:p w14:paraId="51167C57">
            <w:pPr>
              <w:pStyle w:val="36"/>
              <w:spacing w:line="280" w:lineRule="exact"/>
              <w:ind w:firstLine="420" w:firstLineChars="200"/>
              <w:rPr>
                <w:rFonts w:hint="eastAsia"/>
                <w:color w:val="auto"/>
                <w:sz w:val="21"/>
                <w:szCs w:val="21"/>
                <w:highlight w:val="none"/>
              </w:rPr>
            </w:pPr>
          </w:p>
          <w:p w14:paraId="5816DF3D">
            <w:pPr>
              <w:pStyle w:val="36"/>
              <w:spacing w:line="280" w:lineRule="exact"/>
              <w:ind w:firstLine="420" w:firstLineChars="200"/>
              <w:rPr>
                <w:rFonts w:hint="eastAsia"/>
                <w:color w:val="auto"/>
                <w:sz w:val="21"/>
                <w:szCs w:val="21"/>
                <w:highlight w:val="none"/>
              </w:rPr>
            </w:pPr>
          </w:p>
          <w:p w14:paraId="2FEA4D3B">
            <w:pPr>
              <w:pStyle w:val="36"/>
              <w:spacing w:line="280" w:lineRule="exact"/>
              <w:ind w:firstLine="420" w:firstLineChars="200"/>
              <w:rPr>
                <w:rFonts w:hint="eastAsia"/>
                <w:color w:val="auto"/>
                <w:sz w:val="21"/>
                <w:szCs w:val="21"/>
                <w:highlight w:val="none"/>
              </w:rPr>
            </w:pPr>
            <w:r>
              <w:rPr>
                <w:rFonts w:hint="eastAsia"/>
                <w:color w:val="auto"/>
                <w:sz w:val="21"/>
                <w:szCs w:val="21"/>
                <w:highlight w:val="none"/>
              </w:rPr>
              <w:t>评标价得分：100 分</w:t>
            </w:r>
          </w:p>
        </w:tc>
      </w:tr>
      <w:tr w14:paraId="105AA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8" w:hRule="atLeast"/>
        </w:trPr>
        <w:tc>
          <w:tcPr>
            <w:tcW w:w="833" w:type="dxa"/>
            <w:vAlign w:val="top"/>
          </w:tcPr>
          <w:p w14:paraId="6CBFB994">
            <w:pPr>
              <w:pStyle w:val="36"/>
              <w:spacing w:line="280" w:lineRule="exact"/>
              <w:ind w:firstLine="420" w:firstLineChars="200"/>
              <w:rPr>
                <w:rFonts w:hint="eastAsia"/>
                <w:color w:val="auto"/>
                <w:sz w:val="21"/>
                <w:szCs w:val="21"/>
                <w:highlight w:val="none"/>
              </w:rPr>
            </w:pPr>
          </w:p>
          <w:p w14:paraId="6A4D5AD6">
            <w:pPr>
              <w:pStyle w:val="36"/>
              <w:spacing w:line="280" w:lineRule="exact"/>
              <w:ind w:firstLine="420" w:firstLineChars="200"/>
              <w:rPr>
                <w:rFonts w:hint="eastAsia"/>
                <w:color w:val="auto"/>
                <w:sz w:val="21"/>
                <w:szCs w:val="21"/>
                <w:highlight w:val="none"/>
              </w:rPr>
            </w:pPr>
          </w:p>
          <w:p w14:paraId="797A52E9">
            <w:pPr>
              <w:pStyle w:val="36"/>
              <w:spacing w:line="280" w:lineRule="exact"/>
              <w:ind w:firstLine="420" w:firstLineChars="200"/>
              <w:rPr>
                <w:rFonts w:hint="eastAsia"/>
                <w:color w:val="auto"/>
                <w:sz w:val="21"/>
                <w:szCs w:val="21"/>
                <w:highlight w:val="none"/>
              </w:rPr>
            </w:pPr>
          </w:p>
          <w:p w14:paraId="1C88BF49">
            <w:pPr>
              <w:pStyle w:val="36"/>
              <w:spacing w:line="280" w:lineRule="exact"/>
              <w:ind w:firstLine="420" w:firstLineChars="200"/>
              <w:rPr>
                <w:rFonts w:hint="eastAsia"/>
                <w:color w:val="auto"/>
                <w:sz w:val="21"/>
                <w:szCs w:val="21"/>
                <w:highlight w:val="none"/>
              </w:rPr>
            </w:pPr>
          </w:p>
          <w:p w14:paraId="7559E05E">
            <w:pPr>
              <w:pStyle w:val="36"/>
              <w:spacing w:line="280" w:lineRule="exact"/>
              <w:ind w:firstLine="420" w:firstLineChars="200"/>
              <w:rPr>
                <w:rFonts w:hint="eastAsia"/>
                <w:color w:val="auto"/>
                <w:sz w:val="21"/>
                <w:szCs w:val="21"/>
                <w:highlight w:val="none"/>
              </w:rPr>
            </w:pPr>
          </w:p>
          <w:p w14:paraId="48C69D3D">
            <w:pPr>
              <w:pStyle w:val="36"/>
              <w:spacing w:line="280" w:lineRule="exact"/>
              <w:ind w:firstLine="420" w:firstLineChars="200"/>
              <w:rPr>
                <w:rFonts w:hint="eastAsia"/>
                <w:color w:val="auto"/>
                <w:sz w:val="21"/>
                <w:szCs w:val="21"/>
                <w:highlight w:val="none"/>
              </w:rPr>
            </w:pPr>
          </w:p>
          <w:p w14:paraId="02A5B38B">
            <w:pPr>
              <w:pStyle w:val="36"/>
              <w:spacing w:line="280" w:lineRule="exact"/>
              <w:ind w:firstLine="420" w:firstLineChars="200"/>
              <w:rPr>
                <w:rFonts w:hint="eastAsia"/>
                <w:color w:val="auto"/>
                <w:sz w:val="21"/>
                <w:szCs w:val="21"/>
                <w:highlight w:val="none"/>
              </w:rPr>
            </w:pPr>
          </w:p>
          <w:p w14:paraId="04C92370">
            <w:pPr>
              <w:pStyle w:val="36"/>
              <w:spacing w:line="280" w:lineRule="exact"/>
              <w:ind w:firstLine="420" w:firstLineChars="200"/>
              <w:rPr>
                <w:rFonts w:hint="eastAsia"/>
                <w:color w:val="auto"/>
                <w:sz w:val="21"/>
                <w:szCs w:val="21"/>
                <w:highlight w:val="none"/>
              </w:rPr>
            </w:pPr>
          </w:p>
          <w:p w14:paraId="737BFBAD">
            <w:pPr>
              <w:pStyle w:val="36"/>
              <w:spacing w:line="280" w:lineRule="exact"/>
              <w:ind w:firstLine="420" w:firstLineChars="200"/>
              <w:rPr>
                <w:rFonts w:hint="eastAsia"/>
                <w:color w:val="auto"/>
                <w:sz w:val="21"/>
                <w:szCs w:val="21"/>
                <w:highlight w:val="none"/>
              </w:rPr>
            </w:pPr>
          </w:p>
          <w:p w14:paraId="116FF14D">
            <w:pPr>
              <w:pStyle w:val="36"/>
              <w:spacing w:line="280" w:lineRule="exact"/>
              <w:ind w:firstLine="420" w:firstLineChars="200"/>
              <w:rPr>
                <w:rFonts w:hint="eastAsia"/>
                <w:color w:val="auto"/>
                <w:sz w:val="21"/>
                <w:szCs w:val="21"/>
                <w:highlight w:val="none"/>
              </w:rPr>
            </w:pPr>
          </w:p>
          <w:p w14:paraId="099ED331">
            <w:pPr>
              <w:pStyle w:val="36"/>
              <w:spacing w:line="280" w:lineRule="exact"/>
              <w:ind w:firstLine="420" w:firstLineChars="200"/>
              <w:rPr>
                <w:rFonts w:hint="eastAsia"/>
                <w:color w:val="auto"/>
                <w:sz w:val="21"/>
                <w:szCs w:val="21"/>
                <w:highlight w:val="none"/>
              </w:rPr>
            </w:pPr>
          </w:p>
          <w:p w14:paraId="6F85FDC9">
            <w:pPr>
              <w:pStyle w:val="36"/>
              <w:spacing w:line="280" w:lineRule="exact"/>
              <w:ind w:firstLine="420" w:firstLineChars="200"/>
              <w:rPr>
                <w:rFonts w:hint="eastAsia"/>
                <w:color w:val="auto"/>
                <w:sz w:val="21"/>
                <w:szCs w:val="21"/>
                <w:highlight w:val="none"/>
              </w:rPr>
            </w:pPr>
          </w:p>
          <w:p w14:paraId="5480819C">
            <w:pPr>
              <w:pStyle w:val="36"/>
              <w:spacing w:line="280" w:lineRule="exact"/>
              <w:ind w:firstLine="420" w:firstLineChars="200"/>
              <w:rPr>
                <w:rFonts w:hint="eastAsia"/>
                <w:color w:val="auto"/>
                <w:sz w:val="21"/>
                <w:szCs w:val="21"/>
                <w:highlight w:val="none"/>
              </w:rPr>
            </w:pPr>
          </w:p>
          <w:p w14:paraId="59DD38D0">
            <w:pPr>
              <w:pStyle w:val="36"/>
              <w:spacing w:line="280" w:lineRule="exact"/>
              <w:ind w:firstLine="420" w:firstLineChars="200"/>
              <w:rPr>
                <w:rFonts w:hint="eastAsia"/>
                <w:color w:val="auto"/>
                <w:sz w:val="21"/>
                <w:szCs w:val="21"/>
                <w:highlight w:val="none"/>
              </w:rPr>
            </w:pPr>
          </w:p>
          <w:p w14:paraId="09470D98">
            <w:pPr>
              <w:pStyle w:val="36"/>
              <w:spacing w:line="280" w:lineRule="exact"/>
              <w:ind w:firstLine="420" w:firstLineChars="200"/>
              <w:rPr>
                <w:rFonts w:hint="eastAsia"/>
                <w:color w:val="auto"/>
                <w:sz w:val="21"/>
                <w:szCs w:val="21"/>
                <w:highlight w:val="none"/>
              </w:rPr>
            </w:pPr>
          </w:p>
          <w:p w14:paraId="3ECA9C8A">
            <w:pPr>
              <w:pStyle w:val="36"/>
              <w:spacing w:line="280" w:lineRule="exact"/>
              <w:ind w:firstLine="420" w:firstLineChars="200"/>
              <w:rPr>
                <w:rFonts w:hint="eastAsia"/>
                <w:color w:val="auto"/>
                <w:sz w:val="21"/>
                <w:szCs w:val="21"/>
                <w:highlight w:val="none"/>
              </w:rPr>
            </w:pPr>
          </w:p>
          <w:p w14:paraId="3219A082">
            <w:pPr>
              <w:pStyle w:val="36"/>
              <w:spacing w:line="280" w:lineRule="exact"/>
              <w:ind w:firstLine="420" w:firstLineChars="200"/>
              <w:rPr>
                <w:rFonts w:hint="eastAsia"/>
                <w:color w:val="auto"/>
                <w:sz w:val="21"/>
                <w:szCs w:val="21"/>
                <w:highlight w:val="none"/>
              </w:rPr>
            </w:pPr>
          </w:p>
          <w:p w14:paraId="3866ADE9">
            <w:pPr>
              <w:pStyle w:val="36"/>
              <w:spacing w:line="280" w:lineRule="exact"/>
              <w:ind w:firstLine="420" w:firstLineChars="200"/>
              <w:rPr>
                <w:rFonts w:hint="eastAsia"/>
                <w:color w:val="auto"/>
                <w:sz w:val="21"/>
                <w:szCs w:val="21"/>
                <w:highlight w:val="none"/>
              </w:rPr>
            </w:pPr>
          </w:p>
          <w:p w14:paraId="3E558250">
            <w:pPr>
              <w:pStyle w:val="36"/>
              <w:spacing w:line="280" w:lineRule="exact"/>
              <w:ind w:firstLine="420" w:firstLineChars="200"/>
              <w:rPr>
                <w:rFonts w:hint="eastAsia"/>
                <w:color w:val="auto"/>
                <w:sz w:val="21"/>
                <w:szCs w:val="21"/>
                <w:highlight w:val="none"/>
              </w:rPr>
            </w:pPr>
          </w:p>
          <w:p w14:paraId="2D6F84B2">
            <w:pPr>
              <w:pStyle w:val="36"/>
              <w:spacing w:line="280" w:lineRule="exact"/>
              <w:ind w:firstLine="420" w:firstLineChars="200"/>
              <w:rPr>
                <w:rFonts w:hint="eastAsia"/>
                <w:color w:val="auto"/>
                <w:sz w:val="21"/>
                <w:szCs w:val="21"/>
                <w:highlight w:val="none"/>
              </w:rPr>
            </w:pPr>
          </w:p>
          <w:p w14:paraId="37D72E04">
            <w:pPr>
              <w:pStyle w:val="36"/>
              <w:spacing w:line="280" w:lineRule="exact"/>
              <w:jc w:val="center"/>
              <w:rPr>
                <w:rFonts w:hint="eastAsia" w:eastAsia="宋体"/>
                <w:color w:val="auto"/>
                <w:sz w:val="21"/>
                <w:szCs w:val="21"/>
                <w:highlight w:val="none"/>
                <w:lang w:eastAsia="zh-CN"/>
              </w:rPr>
            </w:pPr>
            <w:r>
              <w:rPr>
                <w:rFonts w:hint="eastAsia"/>
                <w:color w:val="auto"/>
                <w:sz w:val="21"/>
                <w:szCs w:val="21"/>
                <w:highlight w:val="none"/>
              </w:rPr>
              <w:t>2.2.</w:t>
            </w:r>
            <w:r>
              <w:rPr>
                <w:rFonts w:hint="eastAsia"/>
                <w:color w:val="auto"/>
                <w:sz w:val="21"/>
                <w:szCs w:val="21"/>
                <w:highlight w:val="none"/>
                <w:lang w:val="en-US" w:eastAsia="zh-CN"/>
              </w:rPr>
              <w:t>1</w:t>
            </w:r>
          </w:p>
        </w:tc>
        <w:tc>
          <w:tcPr>
            <w:tcW w:w="767" w:type="dxa"/>
            <w:vAlign w:val="top"/>
          </w:tcPr>
          <w:p w14:paraId="49CFF4CB">
            <w:pPr>
              <w:pStyle w:val="36"/>
              <w:spacing w:line="280" w:lineRule="exact"/>
              <w:ind w:firstLine="420" w:firstLineChars="200"/>
              <w:rPr>
                <w:rFonts w:hint="eastAsia"/>
                <w:color w:val="auto"/>
                <w:sz w:val="21"/>
                <w:szCs w:val="21"/>
                <w:highlight w:val="none"/>
              </w:rPr>
            </w:pPr>
          </w:p>
          <w:p w14:paraId="14BFBFEB">
            <w:pPr>
              <w:pStyle w:val="36"/>
              <w:spacing w:line="280" w:lineRule="exact"/>
              <w:ind w:firstLine="420" w:firstLineChars="200"/>
              <w:rPr>
                <w:rFonts w:hint="eastAsia"/>
                <w:color w:val="auto"/>
                <w:sz w:val="21"/>
                <w:szCs w:val="21"/>
                <w:highlight w:val="none"/>
              </w:rPr>
            </w:pPr>
          </w:p>
          <w:p w14:paraId="53BC3CA6">
            <w:pPr>
              <w:pStyle w:val="36"/>
              <w:spacing w:line="280" w:lineRule="exact"/>
              <w:ind w:firstLine="420" w:firstLineChars="200"/>
              <w:rPr>
                <w:rFonts w:hint="eastAsia"/>
                <w:color w:val="auto"/>
                <w:sz w:val="21"/>
                <w:szCs w:val="21"/>
                <w:highlight w:val="none"/>
              </w:rPr>
            </w:pPr>
          </w:p>
          <w:p w14:paraId="7C85FD53">
            <w:pPr>
              <w:pStyle w:val="36"/>
              <w:spacing w:line="280" w:lineRule="exact"/>
              <w:ind w:firstLine="420" w:firstLineChars="200"/>
              <w:rPr>
                <w:rFonts w:hint="eastAsia"/>
                <w:color w:val="auto"/>
                <w:sz w:val="21"/>
                <w:szCs w:val="21"/>
                <w:highlight w:val="none"/>
              </w:rPr>
            </w:pPr>
          </w:p>
          <w:p w14:paraId="130784F8">
            <w:pPr>
              <w:pStyle w:val="36"/>
              <w:spacing w:line="280" w:lineRule="exact"/>
              <w:ind w:firstLine="420" w:firstLineChars="200"/>
              <w:rPr>
                <w:rFonts w:hint="eastAsia"/>
                <w:color w:val="auto"/>
                <w:sz w:val="21"/>
                <w:szCs w:val="21"/>
                <w:highlight w:val="none"/>
              </w:rPr>
            </w:pPr>
          </w:p>
          <w:p w14:paraId="42DFA8DD">
            <w:pPr>
              <w:pStyle w:val="36"/>
              <w:spacing w:line="280" w:lineRule="exact"/>
              <w:ind w:firstLine="420" w:firstLineChars="200"/>
              <w:rPr>
                <w:rFonts w:hint="eastAsia"/>
                <w:color w:val="auto"/>
                <w:sz w:val="21"/>
                <w:szCs w:val="21"/>
                <w:highlight w:val="none"/>
              </w:rPr>
            </w:pPr>
          </w:p>
          <w:p w14:paraId="1E50C0F4">
            <w:pPr>
              <w:pStyle w:val="36"/>
              <w:spacing w:line="280" w:lineRule="exact"/>
              <w:ind w:firstLine="420" w:firstLineChars="200"/>
              <w:rPr>
                <w:rFonts w:hint="eastAsia"/>
                <w:color w:val="auto"/>
                <w:sz w:val="21"/>
                <w:szCs w:val="21"/>
                <w:highlight w:val="none"/>
              </w:rPr>
            </w:pPr>
          </w:p>
          <w:p w14:paraId="3EE98AB3">
            <w:pPr>
              <w:pStyle w:val="36"/>
              <w:spacing w:line="280" w:lineRule="exact"/>
              <w:ind w:firstLine="420" w:firstLineChars="200"/>
              <w:rPr>
                <w:rFonts w:hint="eastAsia"/>
                <w:color w:val="auto"/>
                <w:sz w:val="21"/>
                <w:szCs w:val="21"/>
                <w:highlight w:val="none"/>
              </w:rPr>
            </w:pPr>
          </w:p>
          <w:p w14:paraId="438C34A0">
            <w:pPr>
              <w:pStyle w:val="36"/>
              <w:spacing w:line="280" w:lineRule="exact"/>
              <w:ind w:firstLine="420" w:firstLineChars="200"/>
              <w:rPr>
                <w:rFonts w:hint="eastAsia"/>
                <w:color w:val="auto"/>
                <w:sz w:val="21"/>
                <w:szCs w:val="21"/>
                <w:highlight w:val="none"/>
              </w:rPr>
            </w:pPr>
          </w:p>
          <w:p w14:paraId="7E9A58A7">
            <w:pPr>
              <w:pStyle w:val="36"/>
              <w:spacing w:line="280" w:lineRule="exact"/>
              <w:ind w:firstLine="420" w:firstLineChars="200"/>
              <w:rPr>
                <w:rFonts w:hint="eastAsia"/>
                <w:color w:val="auto"/>
                <w:sz w:val="21"/>
                <w:szCs w:val="21"/>
                <w:highlight w:val="none"/>
              </w:rPr>
            </w:pPr>
          </w:p>
          <w:p w14:paraId="23B48016">
            <w:pPr>
              <w:pStyle w:val="36"/>
              <w:spacing w:line="280" w:lineRule="exact"/>
              <w:ind w:firstLine="420" w:firstLineChars="200"/>
              <w:rPr>
                <w:rFonts w:hint="eastAsia"/>
                <w:color w:val="auto"/>
                <w:sz w:val="21"/>
                <w:szCs w:val="21"/>
                <w:highlight w:val="none"/>
              </w:rPr>
            </w:pPr>
          </w:p>
          <w:p w14:paraId="601456CC">
            <w:pPr>
              <w:pStyle w:val="36"/>
              <w:spacing w:line="280" w:lineRule="exact"/>
              <w:ind w:firstLine="420" w:firstLineChars="200"/>
              <w:rPr>
                <w:rFonts w:hint="eastAsia"/>
                <w:color w:val="auto"/>
                <w:sz w:val="21"/>
                <w:szCs w:val="21"/>
                <w:highlight w:val="none"/>
              </w:rPr>
            </w:pPr>
          </w:p>
          <w:p w14:paraId="3D8967B7">
            <w:pPr>
              <w:pStyle w:val="36"/>
              <w:spacing w:line="280" w:lineRule="exact"/>
              <w:ind w:firstLine="420" w:firstLineChars="200"/>
              <w:rPr>
                <w:rFonts w:hint="eastAsia"/>
                <w:color w:val="auto"/>
                <w:sz w:val="21"/>
                <w:szCs w:val="21"/>
                <w:highlight w:val="none"/>
              </w:rPr>
            </w:pPr>
          </w:p>
          <w:p w14:paraId="2BD89A79">
            <w:pPr>
              <w:pStyle w:val="36"/>
              <w:spacing w:line="280" w:lineRule="exact"/>
              <w:ind w:firstLine="420" w:firstLineChars="200"/>
              <w:rPr>
                <w:rFonts w:hint="eastAsia"/>
                <w:color w:val="auto"/>
                <w:sz w:val="21"/>
                <w:szCs w:val="21"/>
                <w:highlight w:val="none"/>
              </w:rPr>
            </w:pPr>
          </w:p>
          <w:p w14:paraId="40087636">
            <w:pPr>
              <w:pStyle w:val="36"/>
              <w:spacing w:line="280" w:lineRule="exact"/>
              <w:ind w:firstLine="420" w:firstLineChars="200"/>
              <w:rPr>
                <w:rFonts w:hint="eastAsia"/>
                <w:color w:val="auto"/>
                <w:sz w:val="21"/>
                <w:szCs w:val="21"/>
                <w:highlight w:val="none"/>
              </w:rPr>
            </w:pPr>
          </w:p>
          <w:p w14:paraId="3B427A4A">
            <w:pPr>
              <w:pStyle w:val="36"/>
              <w:spacing w:line="280" w:lineRule="exact"/>
              <w:ind w:firstLine="420" w:firstLineChars="200"/>
              <w:rPr>
                <w:rFonts w:hint="eastAsia"/>
                <w:color w:val="auto"/>
                <w:sz w:val="21"/>
                <w:szCs w:val="21"/>
                <w:highlight w:val="none"/>
              </w:rPr>
            </w:pPr>
          </w:p>
          <w:p w14:paraId="191ABF1D">
            <w:pPr>
              <w:pStyle w:val="36"/>
              <w:spacing w:line="280" w:lineRule="exact"/>
              <w:ind w:firstLine="420" w:firstLineChars="200"/>
              <w:rPr>
                <w:rFonts w:hint="eastAsia"/>
                <w:color w:val="auto"/>
                <w:sz w:val="21"/>
                <w:szCs w:val="21"/>
                <w:highlight w:val="none"/>
              </w:rPr>
            </w:pPr>
          </w:p>
          <w:p w14:paraId="4BA9D7AF">
            <w:pPr>
              <w:pStyle w:val="36"/>
              <w:spacing w:line="280" w:lineRule="exact"/>
              <w:ind w:firstLine="420" w:firstLineChars="200"/>
              <w:rPr>
                <w:rFonts w:hint="eastAsia"/>
                <w:color w:val="auto"/>
                <w:sz w:val="21"/>
                <w:szCs w:val="21"/>
                <w:highlight w:val="none"/>
              </w:rPr>
            </w:pPr>
          </w:p>
          <w:p w14:paraId="49369DD3">
            <w:pPr>
              <w:pStyle w:val="36"/>
              <w:spacing w:line="280" w:lineRule="exact"/>
              <w:jc w:val="center"/>
              <w:rPr>
                <w:rFonts w:hint="eastAsia"/>
                <w:color w:val="auto"/>
                <w:sz w:val="21"/>
                <w:szCs w:val="21"/>
                <w:highlight w:val="none"/>
              </w:rPr>
            </w:pPr>
            <w:r>
              <w:rPr>
                <w:rFonts w:hint="eastAsia"/>
                <w:color w:val="auto"/>
                <w:sz w:val="21"/>
                <w:szCs w:val="21"/>
                <w:highlight w:val="none"/>
              </w:rPr>
              <w:t>评标基准价计算方法</w:t>
            </w:r>
          </w:p>
        </w:tc>
        <w:tc>
          <w:tcPr>
            <w:tcW w:w="8067" w:type="dxa"/>
            <w:vAlign w:val="top"/>
          </w:tcPr>
          <w:p w14:paraId="71130BFB">
            <w:pPr>
              <w:pStyle w:val="36"/>
              <w:spacing w:line="280" w:lineRule="exact"/>
              <w:ind w:firstLine="420" w:firstLineChars="200"/>
              <w:rPr>
                <w:rFonts w:hint="eastAsia"/>
                <w:color w:val="auto"/>
                <w:sz w:val="21"/>
                <w:szCs w:val="21"/>
                <w:highlight w:val="none"/>
              </w:rPr>
            </w:pPr>
            <w:r>
              <w:rPr>
                <w:rFonts w:hint="eastAsia"/>
                <w:color w:val="auto"/>
                <w:sz w:val="21"/>
                <w:szCs w:val="21"/>
                <w:highlight w:val="none"/>
              </w:rPr>
              <w:t>（1）评标价的确定：评标价=通过初步评审的有效</w:t>
            </w:r>
            <w:r>
              <w:rPr>
                <w:rFonts w:hint="eastAsia"/>
                <w:color w:val="auto"/>
                <w:sz w:val="21"/>
                <w:szCs w:val="21"/>
                <w:highlight w:val="none"/>
                <w:lang w:eastAsia="zh-CN"/>
              </w:rPr>
              <w:t>比选文件</w:t>
            </w:r>
            <w:r>
              <w:rPr>
                <w:rFonts w:hint="eastAsia"/>
                <w:color w:val="auto"/>
                <w:sz w:val="21"/>
                <w:szCs w:val="21"/>
                <w:highlight w:val="none"/>
              </w:rPr>
              <w:t>的</w:t>
            </w:r>
            <w:r>
              <w:rPr>
                <w:rFonts w:hint="eastAsia"/>
                <w:color w:val="auto"/>
                <w:sz w:val="21"/>
                <w:szCs w:val="21"/>
                <w:highlight w:val="none"/>
                <w:lang w:eastAsia="zh-CN"/>
              </w:rPr>
              <w:t>比选</w:t>
            </w:r>
            <w:r>
              <w:rPr>
                <w:rFonts w:hint="eastAsia"/>
                <w:color w:val="auto"/>
                <w:sz w:val="21"/>
                <w:szCs w:val="21"/>
                <w:highlight w:val="none"/>
              </w:rPr>
              <w:t>函中填写的标段总</w:t>
            </w:r>
            <w:r>
              <w:rPr>
                <w:rFonts w:hint="eastAsia"/>
                <w:color w:val="auto"/>
                <w:sz w:val="21"/>
                <w:szCs w:val="21"/>
                <w:highlight w:val="none"/>
                <w:lang w:eastAsia="zh-CN"/>
              </w:rPr>
              <w:t>比选</w:t>
            </w:r>
            <w:r>
              <w:rPr>
                <w:rFonts w:hint="eastAsia"/>
                <w:color w:val="auto"/>
                <w:sz w:val="21"/>
                <w:szCs w:val="21"/>
                <w:highlight w:val="none"/>
              </w:rPr>
              <w:t>报价大写金额。</w:t>
            </w:r>
          </w:p>
          <w:p w14:paraId="256ED2C2">
            <w:pPr>
              <w:pStyle w:val="36"/>
              <w:spacing w:line="280" w:lineRule="exact"/>
              <w:ind w:firstLine="420" w:firstLineChars="200"/>
              <w:rPr>
                <w:rFonts w:hint="eastAsia"/>
                <w:color w:val="auto"/>
                <w:sz w:val="21"/>
                <w:szCs w:val="21"/>
                <w:highlight w:val="none"/>
              </w:rPr>
            </w:pPr>
            <w:r>
              <w:rPr>
                <w:rFonts w:hint="eastAsia"/>
                <w:color w:val="auto"/>
                <w:sz w:val="21"/>
                <w:szCs w:val="21"/>
                <w:highlight w:val="none"/>
              </w:rPr>
              <w:t>（2）若</w:t>
            </w:r>
            <w:r>
              <w:rPr>
                <w:rFonts w:hint="eastAsia"/>
                <w:color w:val="auto"/>
                <w:sz w:val="21"/>
                <w:szCs w:val="21"/>
                <w:highlight w:val="none"/>
                <w:lang w:eastAsia="zh-CN"/>
              </w:rPr>
              <w:t>招选人</w:t>
            </w:r>
            <w:r>
              <w:rPr>
                <w:rFonts w:hint="eastAsia"/>
                <w:color w:val="auto"/>
                <w:sz w:val="21"/>
                <w:szCs w:val="21"/>
                <w:highlight w:val="none"/>
              </w:rPr>
              <w:t>发现</w:t>
            </w:r>
            <w:r>
              <w:rPr>
                <w:rFonts w:hint="eastAsia"/>
                <w:color w:val="auto"/>
                <w:sz w:val="21"/>
                <w:szCs w:val="21"/>
                <w:highlight w:val="none"/>
                <w:lang w:eastAsia="zh-CN"/>
              </w:rPr>
              <w:t>比选文件</w:t>
            </w:r>
            <w:r>
              <w:rPr>
                <w:rFonts w:hint="eastAsia"/>
                <w:color w:val="auto"/>
                <w:sz w:val="21"/>
                <w:szCs w:val="21"/>
                <w:highlight w:val="none"/>
              </w:rPr>
              <w:t>出现以下任一情况，其</w:t>
            </w:r>
            <w:r>
              <w:rPr>
                <w:rFonts w:hint="eastAsia"/>
                <w:color w:val="auto"/>
                <w:sz w:val="21"/>
                <w:szCs w:val="21"/>
                <w:highlight w:val="none"/>
                <w:lang w:eastAsia="zh-CN"/>
              </w:rPr>
              <w:t>比选</w:t>
            </w:r>
            <w:r>
              <w:rPr>
                <w:rFonts w:hint="eastAsia"/>
                <w:color w:val="auto"/>
                <w:sz w:val="21"/>
                <w:szCs w:val="21"/>
                <w:highlight w:val="none"/>
              </w:rPr>
              <w:t>报价将不再参加评标基准价的计算：</w:t>
            </w:r>
          </w:p>
          <w:p w14:paraId="11B3405F">
            <w:pPr>
              <w:pStyle w:val="36"/>
              <w:spacing w:line="280" w:lineRule="exact"/>
              <w:ind w:firstLine="420" w:firstLineChars="200"/>
              <w:rPr>
                <w:rFonts w:hint="eastAsia"/>
                <w:color w:val="auto"/>
                <w:sz w:val="21"/>
                <w:szCs w:val="21"/>
                <w:highlight w:val="none"/>
              </w:rPr>
            </w:pPr>
            <w:r>
              <w:rPr>
                <w:rFonts w:hint="eastAsia"/>
                <w:color w:val="auto"/>
                <w:sz w:val="21"/>
                <w:szCs w:val="21"/>
                <w:highlight w:val="none"/>
              </w:rPr>
              <w:t>①未在</w:t>
            </w:r>
            <w:r>
              <w:rPr>
                <w:rFonts w:hint="eastAsia"/>
                <w:color w:val="auto"/>
                <w:sz w:val="21"/>
                <w:szCs w:val="21"/>
                <w:highlight w:val="none"/>
                <w:lang w:eastAsia="zh-CN"/>
              </w:rPr>
              <w:t>比选</w:t>
            </w:r>
            <w:r>
              <w:rPr>
                <w:rFonts w:hint="eastAsia"/>
                <w:color w:val="auto"/>
                <w:sz w:val="21"/>
                <w:szCs w:val="21"/>
                <w:highlight w:val="none"/>
              </w:rPr>
              <w:t>函上填写</w:t>
            </w:r>
            <w:r>
              <w:rPr>
                <w:rFonts w:hint="eastAsia"/>
                <w:color w:val="auto"/>
                <w:sz w:val="21"/>
                <w:szCs w:val="21"/>
                <w:highlight w:val="none"/>
                <w:lang w:eastAsia="zh-CN"/>
              </w:rPr>
              <w:t>比选</w:t>
            </w:r>
            <w:r>
              <w:rPr>
                <w:rFonts w:hint="eastAsia"/>
                <w:color w:val="auto"/>
                <w:sz w:val="21"/>
                <w:szCs w:val="21"/>
                <w:highlight w:val="none"/>
              </w:rPr>
              <w:t>总价；</w:t>
            </w:r>
          </w:p>
          <w:p w14:paraId="5EB24FDA">
            <w:pPr>
              <w:pStyle w:val="36"/>
              <w:spacing w:line="280" w:lineRule="exact"/>
              <w:ind w:firstLine="420" w:firstLineChars="200"/>
              <w:rPr>
                <w:rFonts w:hint="eastAsia"/>
                <w:color w:val="auto"/>
                <w:sz w:val="21"/>
                <w:szCs w:val="21"/>
                <w:highlight w:val="none"/>
              </w:rPr>
            </w:pPr>
            <w:r>
              <w:rPr>
                <w:rFonts w:hint="eastAsia"/>
                <w:color w:val="auto"/>
                <w:sz w:val="21"/>
                <w:szCs w:val="21"/>
                <w:highlight w:val="none"/>
              </w:rPr>
              <w:t>②</w:t>
            </w:r>
            <w:r>
              <w:rPr>
                <w:rFonts w:hint="eastAsia"/>
                <w:color w:val="auto"/>
                <w:sz w:val="21"/>
                <w:szCs w:val="21"/>
                <w:highlight w:val="none"/>
                <w:lang w:eastAsia="zh-CN"/>
              </w:rPr>
              <w:t>比选</w:t>
            </w:r>
            <w:r>
              <w:rPr>
                <w:rFonts w:hint="eastAsia"/>
                <w:color w:val="auto"/>
                <w:sz w:val="21"/>
                <w:szCs w:val="21"/>
                <w:highlight w:val="none"/>
              </w:rPr>
              <w:t>报价大写金额超出</w:t>
            </w:r>
            <w:r>
              <w:rPr>
                <w:rFonts w:hint="eastAsia"/>
                <w:color w:val="auto"/>
                <w:sz w:val="21"/>
                <w:szCs w:val="21"/>
                <w:highlight w:val="none"/>
                <w:lang w:eastAsia="zh-CN"/>
              </w:rPr>
              <w:t>招选人</w:t>
            </w:r>
            <w:r>
              <w:rPr>
                <w:rFonts w:hint="eastAsia"/>
                <w:color w:val="auto"/>
                <w:sz w:val="21"/>
                <w:szCs w:val="21"/>
                <w:highlight w:val="none"/>
              </w:rPr>
              <w:t>公布的最高</w:t>
            </w:r>
            <w:r>
              <w:rPr>
                <w:rFonts w:hint="eastAsia"/>
                <w:color w:val="auto"/>
                <w:sz w:val="21"/>
                <w:szCs w:val="21"/>
                <w:highlight w:val="none"/>
                <w:lang w:eastAsia="zh-CN"/>
              </w:rPr>
              <w:t>比选</w:t>
            </w:r>
            <w:r>
              <w:rPr>
                <w:rFonts w:hint="eastAsia"/>
                <w:color w:val="auto"/>
                <w:sz w:val="21"/>
                <w:szCs w:val="21"/>
                <w:highlight w:val="none"/>
              </w:rPr>
              <w:t>限价；</w:t>
            </w:r>
          </w:p>
          <w:p w14:paraId="60D33531">
            <w:pPr>
              <w:pStyle w:val="36"/>
              <w:spacing w:line="280" w:lineRule="exact"/>
              <w:ind w:firstLine="420" w:firstLineChars="200"/>
              <w:rPr>
                <w:rFonts w:hint="eastAsia"/>
                <w:color w:val="auto"/>
                <w:sz w:val="21"/>
                <w:szCs w:val="21"/>
                <w:highlight w:val="none"/>
              </w:rPr>
            </w:pPr>
            <w:r>
              <w:rPr>
                <w:rFonts w:hint="eastAsia"/>
                <w:color w:val="auto"/>
                <w:sz w:val="21"/>
                <w:szCs w:val="21"/>
                <w:highlight w:val="none"/>
              </w:rPr>
              <w:t>③</w:t>
            </w:r>
            <w:r>
              <w:rPr>
                <w:rFonts w:hint="eastAsia"/>
                <w:color w:val="auto"/>
                <w:sz w:val="21"/>
                <w:szCs w:val="21"/>
                <w:highlight w:val="none"/>
                <w:lang w:eastAsia="zh-CN"/>
              </w:rPr>
              <w:t>比选</w:t>
            </w:r>
            <w:r>
              <w:rPr>
                <w:rFonts w:hint="eastAsia"/>
                <w:color w:val="auto"/>
                <w:sz w:val="21"/>
                <w:szCs w:val="21"/>
                <w:highlight w:val="none"/>
              </w:rPr>
              <w:t>报价大写金额无法确定具体数值；</w:t>
            </w:r>
          </w:p>
          <w:p w14:paraId="15F7B276">
            <w:pPr>
              <w:pStyle w:val="36"/>
              <w:spacing w:line="280" w:lineRule="exact"/>
              <w:ind w:firstLine="420" w:firstLineChars="200"/>
              <w:rPr>
                <w:rFonts w:hint="eastAsia"/>
                <w:color w:val="auto"/>
                <w:sz w:val="21"/>
                <w:szCs w:val="21"/>
                <w:highlight w:val="none"/>
              </w:rPr>
            </w:pPr>
            <w:r>
              <w:rPr>
                <w:rFonts w:hint="eastAsia"/>
                <w:color w:val="auto"/>
                <w:sz w:val="21"/>
                <w:szCs w:val="21"/>
                <w:highlight w:val="none"/>
              </w:rPr>
              <w:t>④</w:t>
            </w:r>
            <w:r>
              <w:rPr>
                <w:rFonts w:hint="eastAsia"/>
                <w:color w:val="auto"/>
                <w:sz w:val="21"/>
                <w:szCs w:val="21"/>
                <w:highlight w:val="none"/>
                <w:lang w:eastAsia="zh-CN"/>
              </w:rPr>
              <w:t>比选</w:t>
            </w:r>
            <w:r>
              <w:rPr>
                <w:rFonts w:hint="eastAsia"/>
                <w:color w:val="auto"/>
                <w:sz w:val="21"/>
                <w:szCs w:val="21"/>
                <w:highlight w:val="none"/>
              </w:rPr>
              <w:t>报价大写金额低于</w:t>
            </w:r>
            <w:r>
              <w:rPr>
                <w:rFonts w:hint="eastAsia"/>
                <w:color w:val="auto"/>
                <w:sz w:val="21"/>
                <w:szCs w:val="21"/>
                <w:highlight w:val="none"/>
                <w:lang w:eastAsia="zh-CN"/>
              </w:rPr>
              <w:t>招选人</w:t>
            </w:r>
            <w:r>
              <w:rPr>
                <w:rFonts w:hint="eastAsia"/>
                <w:color w:val="auto"/>
                <w:sz w:val="21"/>
                <w:szCs w:val="21"/>
                <w:highlight w:val="none"/>
              </w:rPr>
              <w:t>公布的最高</w:t>
            </w:r>
            <w:r>
              <w:rPr>
                <w:rFonts w:hint="eastAsia"/>
                <w:color w:val="auto"/>
                <w:sz w:val="21"/>
                <w:szCs w:val="21"/>
                <w:highlight w:val="none"/>
                <w:lang w:eastAsia="zh-CN"/>
              </w:rPr>
              <w:t>比选</w:t>
            </w:r>
            <w:r>
              <w:rPr>
                <w:rFonts w:hint="eastAsia"/>
                <w:color w:val="auto"/>
                <w:sz w:val="21"/>
                <w:szCs w:val="21"/>
                <w:highlight w:val="none"/>
              </w:rPr>
              <w:t>限价的85%（不含85%）。</w:t>
            </w:r>
          </w:p>
          <w:p w14:paraId="07BFA078">
            <w:pPr>
              <w:pStyle w:val="36"/>
              <w:spacing w:line="280" w:lineRule="exact"/>
              <w:ind w:firstLine="420" w:firstLineChars="200"/>
              <w:rPr>
                <w:rFonts w:hint="eastAsia"/>
                <w:color w:val="auto"/>
                <w:sz w:val="21"/>
                <w:szCs w:val="21"/>
                <w:highlight w:val="none"/>
              </w:rPr>
            </w:pPr>
            <w:r>
              <w:rPr>
                <w:rFonts w:hint="eastAsia"/>
                <w:color w:val="auto"/>
                <w:sz w:val="21"/>
                <w:szCs w:val="21"/>
                <w:highlight w:val="none"/>
              </w:rPr>
              <w:t>⑤其他情形：当所有报价均低于最高</w:t>
            </w:r>
            <w:r>
              <w:rPr>
                <w:rFonts w:hint="eastAsia"/>
                <w:color w:val="auto"/>
                <w:sz w:val="21"/>
                <w:szCs w:val="21"/>
                <w:highlight w:val="none"/>
                <w:lang w:eastAsia="zh-CN"/>
              </w:rPr>
              <w:t>比选</w:t>
            </w:r>
            <w:r>
              <w:rPr>
                <w:rFonts w:hint="eastAsia"/>
                <w:color w:val="auto"/>
                <w:sz w:val="21"/>
                <w:szCs w:val="21"/>
                <w:highlight w:val="none"/>
              </w:rPr>
              <w:t>限价的85%，按照最高</w:t>
            </w:r>
            <w:r>
              <w:rPr>
                <w:rFonts w:hint="eastAsia"/>
                <w:color w:val="auto"/>
                <w:sz w:val="21"/>
                <w:szCs w:val="21"/>
                <w:highlight w:val="none"/>
                <w:lang w:eastAsia="zh-CN"/>
              </w:rPr>
              <w:t>比选</w:t>
            </w:r>
            <w:r>
              <w:rPr>
                <w:rFonts w:hint="eastAsia"/>
                <w:color w:val="auto"/>
                <w:sz w:val="21"/>
                <w:szCs w:val="21"/>
                <w:highlight w:val="none"/>
              </w:rPr>
              <w:t>限价的85%作为基准价。</w:t>
            </w:r>
          </w:p>
          <w:p w14:paraId="583D7D62">
            <w:pPr>
              <w:pStyle w:val="36"/>
              <w:spacing w:line="280" w:lineRule="exact"/>
              <w:ind w:firstLine="420" w:firstLineChars="200"/>
              <w:rPr>
                <w:rFonts w:hint="eastAsia"/>
                <w:color w:val="auto"/>
                <w:sz w:val="21"/>
                <w:szCs w:val="21"/>
                <w:highlight w:val="none"/>
              </w:rPr>
            </w:pPr>
            <w:r>
              <w:rPr>
                <w:rFonts w:hint="eastAsia"/>
                <w:color w:val="auto"/>
                <w:sz w:val="21"/>
                <w:szCs w:val="21"/>
                <w:highlight w:val="none"/>
              </w:rPr>
              <w:t>（3）</w:t>
            </w:r>
            <w:r>
              <w:rPr>
                <w:rFonts w:hint="eastAsia"/>
                <w:color w:val="auto"/>
                <w:sz w:val="21"/>
                <w:szCs w:val="21"/>
                <w:highlight w:val="none"/>
                <w:lang w:eastAsia="zh-CN"/>
              </w:rPr>
              <w:t>比选</w:t>
            </w:r>
            <w:r>
              <w:rPr>
                <w:rFonts w:hint="eastAsia"/>
                <w:color w:val="auto"/>
                <w:sz w:val="21"/>
                <w:szCs w:val="21"/>
                <w:highlight w:val="none"/>
              </w:rPr>
              <w:t>报价平均值的计算:</w:t>
            </w:r>
          </w:p>
          <w:p w14:paraId="397A9CE6">
            <w:pPr>
              <w:pStyle w:val="36"/>
              <w:spacing w:line="280" w:lineRule="exact"/>
              <w:ind w:firstLine="420" w:firstLineChars="200"/>
              <w:rPr>
                <w:rFonts w:hint="eastAsia"/>
                <w:color w:val="auto"/>
                <w:sz w:val="21"/>
                <w:szCs w:val="21"/>
                <w:highlight w:val="none"/>
              </w:rPr>
            </w:pPr>
            <w:r>
              <w:rPr>
                <w:rFonts w:hint="eastAsia"/>
                <w:color w:val="auto"/>
                <w:sz w:val="21"/>
                <w:szCs w:val="21"/>
                <w:highlight w:val="none"/>
              </w:rPr>
              <w:t>所有参与评标基准价计算的有效评标价，去掉一个最高值和一个最低值 后的算术平均值即为</w:t>
            </w:r>
            <w:r>
              <w:rPr>
                <w:rFonts w:hint="eastAsia"/>
                <w:color w:val="auto"/>
                <w:sz w:val="21"/>
                <w:szCs w:val="21"/>
                <w:highlight w:val="none"/>
                <w:lang w:eastAsia="zh-CN"/>
              </w:rPr>
              <w:t>比选</w:t>
            </w:r>
            <w:r>
              <w:rPr>
                <w:rFonts w:hint="eastAsia"/>
                <w:color w:val="auto"/>
                <w:sz w:val="21"/>
                <w:szCs w:val="21"/>
                <w:highlight w:val="none"/>
              </w:rPr>
              <w:t>报价平均值（如参与评标价平均值计算的有效</w:t>
            </w:r>
            <w:r>
              <w:rPr>
                <w:rFonts w:hint="eastAsia"/>
                <w:color w:val="auto"/>
                <w:sz w:val="21"/>
                <w:szCs w:val="21"/>
                <w:highlight w:val="none"/>
                <w:lang w:eastAsia="zh-CN"/>
              </w:rPr>
              <w:t>比选</w:t>
            </w:r>
            <w:r>
              <w:rPr>
                <w:rFonts w:hint="eastAsia"/>
                <w:color w:val="auto"/>
                <w:sz w:val="21"/>
                <w:szCs w:val="21"/>
                <w:highlight w:val="none"/>
              </w:rPr>
              <w:t>人少于 10 家时，则计算</w:t>
            </w:r>
            <w:r>
              <w:rPr>
                <w:rFonts w:hint="eastAsia"/>
                <w:color w:val="auto"/>
                <w:sz w:val="21"/>
                <w:szCs w:val="21"/>
                <w:highlight w:val="none"/>
                <w:lang w:eastAsia="zh-CN"/>
              </w:rPr>
              <w:t>比选</w:t>
            </w:r>
            <w:r>
              <w:rPr>
                <w:rFonts w:hint="eastAsia"/>
                <w:color w:val="auto"/>
                <w:sz w:val="21"/>
                <w:szCs w:val="21"/>
                <w:highlight w:val="none"/>
              </w:rPr>
              <w:t>报价平均值时不去掉最高值和最低值）。</w:t>
            </w:r>
          </w:p>
          <w:p w14:paraId="26AE95D0">
            <w:pPr>
              <w:pStyle w:val="36"/>
              <w:spacing w:line="280" w:lineRule="exact"/>
              <w:ind w:firstLine="420" w:firstLineChars="200"/>
              <w:rPr>
                <w:rFonts w:hint="eastAsia"/>
                <w:color w:val="auto"/>
                <w:sz w:val="21"/>
                <w:szCs w:val="21"/>
                <w:highlight w:val="none"/>
              </w:rPr>
            </w:pPr>
            <w:r>
              <w:rPr>
                <w:rFonts w:hint="eastAsia"/>
                <w:color w:val="auto"/>
                <w:sz w:val="21"/>
                <w:szCs w:val="21"/>
                <w:highlight w:val="none"/>
              </w:rPr>
              <w:t>（4）评标基准价的确定：</w:t>
            </w:r>
          </w:p>
          <w:p w14:paraId="646874D4">
            <w:pPr>
              <w:pStyle w:val="36"/>
              <w:spacing w:line="280" w:lineRule="exact"/>
              <w:ind w:firstLine="420" w:firstLineChars="200"/>
              <w:rPr>
                <w:rFonts w:hint="eastAsia"/>
                <w:color w:val="auto"/>
                <w:sz w:val="21"/>
                <w:szCs w:val="21"/>
                <w:highlight w:val="none"/>
              </w:rPr>
            </w:pPr>
            <w:r>
              <w:rPr>
                <w:rFonts w:hint="eastAsia"/>
                <w:color w:val="auto"/>
                <w:sz w:val="21"/>
                <w:szCs w:val="21"/>
                <w:highlight w:val="none"/>
              </w:rPr>
              <w:t>评标基准价在评标现场由评审委员会现场确定（结果均“ 四舍五入 ”取 整到元）。</w:t>
            </w:r>
          </w:p>
          <w:p w14:paraId="5A76CE5D">
            <w:pPr>
              <w:pStyle w:val="36"/>
              <w:spacing w:line="280" w:lineRule="exact"/>
              <w:ind w:firstLine="420" w:firstLineChars="200"/>
              <w:rPr>
                <w:rFonts w:hint="eastAsia"/>
                <w:color w:val="auto"/>
                <w:sz w:val="21"/>
                <w:szCs w:val="21"/>
                <w:highlight w:val="none"/>
              </w:rPr>
            </w:pPr>
            <w:r>
              <w:rPr>
                <w:rFonts w:hint="eastAsia"/>
                <w:color w:val="auto"/>
                <w:sz w:val="21"/>
                <w:szCs w:val="21"/>
                <w:highlight w:val="none"/>
              </w:rPr>
              <w:t>除计算错误外，确认后的评标基准价不因招</w:t>
            </w:r>
            <w:r>
              <w:rPr>
                <w:rFonts w:hint="eastAsia"/>
                <w:color w:val="auto"/>
                <w:sz w:val="21"/>
                <w:szCs w:val="21"/>
                <w:highlight w:val="none"/>
                <w:lang w:eastAsia="zh-CN"/>
              </w:rPr>
              <w:t>比选</w:t>
            </w:r>
            <w:r>
              <w:rPr>
                <w:rFonts w:hint="eastAsia"/>
                <w:color w:val="auto"/>
                <w:sz w:val="21"/>
                <w:szCs w:val="21"/>
                <w:highlight w:val="none"/>
              </w:rPr>
              <w:t>当事人异议、投诉以及 其它任何情形而改变。</w:t>
            </w:r>
          </w:p>
        </w:tc>
      </w:tr>
      <w:tr w14:paraId="3B34F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7" w:hRule="atLeast"/>
        </w:trPr>
        <w:tc>
          <w:tcPr>
            <w:tcW w:w="833" w:type="dxa"/>
            <w:vAlign w:val="top"/>
          </w:tcPr>
          <w:p w14:paraId="5DB8B65D">
            <w:pPr>
              <w:pStyle w:val="36"/>
              <w:spacing w:line="280" w:lineRule="exact"/>
              <w:ind w:firstLine="420" w:firstLineChars="200"/>
              <w:rPr>
                <w:rFonts w:hint="eastAsia"/>
                <w:color w:val="auto"/>
                <w:sz w:val="21"/>
                <w:szCs w:val="21"/>
                <w:highlight w:val="none"/>
              </w:rPr>
            </w:pPr>
          </w:p>
          <w:p w14:paraId="6FA23F94">
            <w:pPr>
              <w:pStyle w:val="36"/>
              <w:spacing w:line="280" w:lineRule="exact"/>
              <w:ind w:firstLine="420" w:firstLineChars="200"/>
              <w:rPr>
                <w:rFonts w:hint="eastAsia"/>
                <w:color w:val="auto"/>
                <w:sz w:val="21"/>
                <w:szCs w:val="21"/>
                <w:highlight w:val="none"/>
              </w:rPr>
            </w:pPr>
          </w:p>
          <w:p w14:paraId="2ED4B857">
            <w:pPr>
              <w:pStyle w:val="36"/>
              <w:spacing w:line="280" w:lineRule="exact"/>
              <w:ind w:firstLine="420" w:firstLineChars="200"/>
              <w:rPr>
                <w:rFonts w:hint="eastAsia"/>
                <w:color w:val="auto"/>
                <w:sz w:val="21"/>
                <w:szCs w:val="21"/>
                <w:highlight w:val="none"/>
              </w:rPr>
            </w:pPr>
          </w:p>
          <w:p w14:paraId="0D1765BF">
            <w:pPr>
              <w:pStyle w:val="36"/>
              <w:spacing w:line="280" w:lineRule="exact"/>
              <w:jc w:val="center"/>
              <w:rPr>
                <w:rFonts w:hint="eastAsia" w:eastAsia="宋体"/>
                <w:color w:val="auto"/>
                <w:sz w:val="21"/>
                <w:szCs w:val="21"/>
                <w:highlight w:val="none"/>
                <w:lang w:eastAsia="zh-CN"/>
              </w:rPr>
            </w:pPr>
            <w:r>
              <w:rPr>
                <w:rFonts w:hint="eastAsia"/>
                <w:color w:val="auto"/>
                <w:sz w:val="21"/>
                <w:szCs w:val="21"/>
                <w:highlight w:val="none"/>
              </w:rPr>
              <w:t>2.2.</w:t>
            </w:r>
            <w:r>
              <w:rPr>
                <w:rFonts w:hint="eastAsia"/>
                <w:color w:val="auto"/>
                <w:sz w:val="21"/>
                <w:szCs w:val="21"/>
                <w:highlight w:val="none"/>
                <w:lang w:val="en-US" w:eastAsia="zh-CN"/>
              </w:rPr>
              <w:t>2</w:t>
            </w:r>
          </w:p>
        </w:tc>
        <w:tc>
          <w:tcPr>
            <w:tcW w:w="767" w:type="dxa"/>
            <w:vAlign w:val="top"/>
          </w:tcPr>
          <w:p w14:paraId="1A2B486F">
            <w:pPr>
              <w:pStyle w:val="36"/>
              <w:spacing w:line="280" w:lineRule="exact"/>
              <w:jc w:val="center"/>
              <w:rPr>
                <w:rFonts w:hint="eastAsia"/>
                <w:color w:val="auto"/>
                <w:sz w:val="21"/>
                <w:szCs w:val="21"/>
                <w:highlight w:val="none"/>
              </w:rPr>
            </w:pPr>
            <w:r>
              <w:rPr>
                <w:rFonts w:hint="eastAsia"/>
                <w:color w:val="auto"/>
                <w:sz w:val="21"/>
                <w:szCs w:val="21"/>
                <w:highlight w:val="none"/>
              </w:rPr>
              <w:t>评标价的偏差率计算公式</w:t>
            </w:r>
          </w:p>
        </w:tc>
        <w:tc>
          <w:tcPr>
            <w:tcW w:w="8067" w:type="dxa"/>
            <w:vAlign w:val="top"/>
          </w:tcPr>
          <w:p w14:paraId="20FE9E1E">
            <w:pPr>
              <w:pStyle w:val="36"/>
              <w:spacing w:line="280" w:lineRule="exact"/>
              <w:ind w:firstLine="420" w:firstLineChars="200"/>
              <w:rPr>
                <w:rFonts w:hint="eastAsia"/>
                <w:color w:val="auto"/>
                <w:sz w:val="21"/>
                <w:szCs w:val="21"/>
                <w:highlight w:val="none"/>
              </w:rPr>
            </w:pPr>
          </w:p>
          <w:p w14:paraId="1185FC80">
            <w:pPr>
              <w:pStyle w:val="36"/>
              <w:spacing w:line="280" w:lineRule="exact"/>
              <w:rPr>
                <w:rFonts w:hint="eastAsia"/>
                <w:color w:val="auto"/>
                <w:sz w:val="21"/>
                <w:szCs w:val="21"/>
                <w:highlight w:val="none"/>
              </w:rPr>
            </w:pPr>
            <w:r>
              <w:rPr>
                <w:rFonts w:hint="eastAsia"/>
                <w:color w:val="auto"/>
                <w:sz w:val="21"/>
                <w:szCs w:val="21"/>
                <w:highlight w:val="none"/>
              </w:rPr>
              <w:t>偏差率=100%×|（</w:t>
            </w:r>
            <w:r>
              <w:rPr>
                <w:rFonts w:hint="eastAsia"/>
                <w:color w:val="auto"/>
                <w:sz w:val="21"/>
                <w:szCs w:val="21"/>
                <w:highlight w:val="none"/>
                <w:lang w:eastAsia="zh-CN"/>
              </w:rPr>
              <w:t>比选人</w:t>
            </w:r>
            <w:r>
              <w:rPr>
                <w:rFonts w:hint="eastAsia"/>
                <w:color w:val="auto"/>
                <w:sz w:val="21"/>
                <w:szCs w:val="21"/>
                <w:highlight w:val="none"/>
              </w:rPr>
              <w:t>评标价－评标基准价） |/评标基准价，偏差率保留2位小数(形如 6.01%，小数点后第三位“ 四舍五入 ”)</w:t>
            </w:r>
          </w:p>
        </w:tc>
      </w:tr>
    </w:tbl>
    <w:p w14:paraId="56D5BB47">
      <w:pPr>
        <w:pStyle w:val="36"/>
        <w:spacing w:line="280" w:lineRule="exact"/>
        <w:ind w:firstLine="420" w:firstLineChars="200"/>
        <w:rPr>
          <w:rFonts w:hint="eastAsia"/>
          <w:color w:val="auto"/>
          <w:sz w:val="21"/>
          <w:szCs w:val="21"/>
          <w:highlight w:val="none"/>
        </w:rPr>
      </w:pPr>
    </w:p>
    <w:p w14:paraId="005312F1">
      <w:pPr>
        <w:pStyle w:val="36"/>
        <w:spacing w:line="280" w:lineRule="exact"/>
        <w:ind w:firstLine="420" w:firstLineChars="200"/>
        <w:rPr>
          <w:rFonts w:hint="eastAsia"/>
          <w:color w:val="auto"/>
          <w:sz w:val="21"/>
          <w:szCs w:val="21"/>
          <w:highlight w:val="none"/>
        </w:rPr>
        <w:sectPr>
          <w:footerReference r:id="rId13" w:type="default"/>
          <w:pgSz w:w="11905" w:h="16839"/>
          <w:pgMar w:top="1114" w:right="1134" w:bottom="1017" w:left="1473" w:header="862" w:footer="852" w:gutter="0"/>
          <w:cols w:space="720" w:num="1"/>
        </w:sectPr>
      </w:pPr>
    </w:p>
    <w:p w14:paraId="731E2859">
      <w:pPr>
        <w:pStyle w:val="36"/>
        <w:spacing w:line="280" w:lineRule="exact"/>
        <w:ind w:firstLine="420" w:firstLineChars="200"/>
        <w:rPr>
          <w:rFonts w:hint="eastAsia"/>
          <w:color w:val="auto"/>
          <w:sz w:val="21"/>
          <w:szCs w:val="21"/>
          <w:highlight w:val="none"/>
        </w:rPr>
      </w:pPr>
    </w:p>
    <w:tbl>
      <w:tblPr>
        <w:tblStyle w:val="37"/>
        <w:tblW w:w="9148" w:type="dxa"/>
        <w:tblInd w:w="1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1"/>
        <w:gridCol w:w="1081"/>
        <w:gridCol w:w="7046"/>
      </w:tblGrid>
      <w:tr w14:paraId="7333C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2102" w:type="dxa"/>
            <w:gridSpan w:val="2"/>
            <w:vAlign w:val="center"/>
          </w:tcPr>
          <w:p w14:paraId="2FAA99BB">
            <w:pPr>
              <w:pStyle w:val="36"/>
              <w:spacing w:line="280" w:lineRule="exact"/>
              <w:jc w:val="center"/>
              <w:rPr>
                <w:rFonts w:hint="eastAsia"/>
                <w:color w:val="auto"/>
                <w:sz w:val="21"/>
                <w:szCs w:val="21"/>
                <w:highlight w:val="none"/>
              </w:rPr>
            </w:pPr>
            <w:r>
              <w:rPr>
                <w:rFonts w:hint="eastAsia" w:ascii="宋体" w:hAnsi="宋体" w:eastAsia="宋体" w:cs="宋体"/>
                <w:b/>
                <w:bCs/>
                <w:snapToGrid w:val="0"/>
                <w:color w:val="auto"/>
                <w:spacing w:val="7"/>
                <w:sz w:val="20"/>
                <w:highlight w:val="none"/>
                <w:lang w:val="en-US" w:eastAsia="en-US" w:bidi="ar-SA"/>
              </w:rPr>
              <w:t>条款号</w:t>
            </w:r>
          </w:p>
        </w:tc>
        <w:tc>
          <w:tcPr>
            <w:tcW w:w="7046" w:type="dxa"/>
            <w:vAlign w:val="center"/>
          </w:tcPr>
          <w:p w14:paraId="24237AD7">
            <w:pPr>
              <w:pStyle w:val="36"/>
              <w:spacing w:line="280" w:lineRule="exact"/>
              <w:ind w:firstLine="430" w:firstLineChars="200"/>
              <w:jc w:val="center"/>
              <w:rPr>
                <w:rFonts w:hint="eastAsia"/>
                <w:color w:val="auto"/>
                <w:sz w:val="21"/>
                <w:szCs w:val="21"/>
                <w:highlight w:val="none"/>
              </w:rPr>
            </w:pPr>
            <w:r>
              <w:rPr>
                <w:rFonts w:hint="eastAsia" w:ascii="宋体" w:hAnsi="宋体" w:eastAsia="宋体" w:cs="宋体"/>
                <w:b/>
                <w:bCs/>
                <w:snapToGrid w:val="0"/>
                <w:color w:val="auto"/>
                <w:spacing w:val="7"/>
                <w:sz w:val="20"/>
                <w:highlight w:val="none"/>
                <w:lang w:val="en-US" w:eastAsia="en-US" w:bidi="ar-SA"/>
              </w:rPr>
              <w:t>评审因素与评审标准</w:t>
            </w:r>
          </w:p>
        </w:tc>
      </w:tr>
      <w:tr w14:paraId="1CA92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2" w:hRule="atLeast"/>
        </w:trPr>
        <w:tc>
          <w:tcPr>
            <w:tcW w:w="1021" w:type="dxa"/>
            <w:vAlign w:val="top"/>
          </w:tcPr>
          <w:p w14:paraId="57E23175">
            <w:pPr>
              <w:pStyle w:val="36"/>
              <w:spacing w:line="280" w:lineRule="exact"/>
              <w:ind w:firstLine="420" w:firstLineChars="200"/>
              <w:rPr>
                <w:rFonts w:hint="eastAsia"/>
                <w:color w:val="auto"/>
                <w:sz w:val="21"/>
                <w:szCs w:val="21"/>
                <w:highlight w:val="none"/>
              </w:rPr>
            </w:pPr>
          </w:p>
          <w:p w14:paraId="6BBB32DA">
            <w:pPr>
              <w:pStyle w:val="36"/>
              <w:spacing w:line="280" w:lineRule="exact"/>
              <w:ind w:firstLine="420" w:firstLineChars="200"/>
              <w:rPr>
                <w:rFonts w:hint="eastAsia"/>
                <w:color w:val="auto"/>
                <w:sz w:val="21"/>
                <w:szCs w:val="21"/>
                <w:highlight w:val="none"/>
              </w:rPr>
            </w:pPr>
          </w:p>
          <w:p w14:paraId="56682A06">
            <w:pPr>
              <w:pStyle w:val="36"/>
              <w:spacing w:line="280" w:lineRule="exact"/>
              <w:ind w:firstLine="420" w:firstLineChars="200"/>
              <w:rPr>
                <w:rFonts w:hint="eastAsia"/>
                <w:color w:val="auto"/>
                <w:sz w:val="21"/>
                <w:szCs w:val="21"/>
                <w:highlight w:val="none"/>
              </w:rPr>
            </w:pPr>
          </w:p>
          <w:p w14:paraId="362D46B3">
            <w:pPr>
              <w:pStyle w:val="36"/>
              <w:spacing w:line="280" w:lineRule="exact"/>
              <w:ind w:firstLine="420" w:firstLineChars="200"/>
              <w:rPr>
                <w:rFonts w:hint="eastAsia"/>
                <w:color w:val="auto"/>
                <w:sz w:val="21"/>
                <w:szCs w:val="21"/>
                <w:highlight w:val="none"/>
              </w:rPr>
            </w:pPr>
          </w:p>
          <w:p w14:paraId="5207D7B0">
            <w:pPr>
              <w:pStyle w:val="36"/>
              <w:spacing w:line="280" w:lineRule="exact"/>
              <w:ind w:firstLine="420" w:firstLineChars="200"/>
              <w:rPr>
                <w:rFonts w:hint="eastAsia"/>
                <w:color w:val="auto"/>
                <w:sz w:val="21"/>
                <w:szCs w:val="21"/>
                <w:highlight w:val="none"/>
              </w:rPr>
            </w:pPr>
          </w:p>
          <w:p w14:paraId="12CC2111">
            <w:pPr>
              <w:pStyle w:val="36"/>
              <w:spacing w:line="280" w:lineRule="exact"/>
              <w:jc w:val="center"/>
              <w:rPr>
                <w:rFonts w:hint="eastAsia" w:eastAsia="宋体"/>
                <w:color w:val="auto"/>
                <w:sz w:val="21"/>
                <w:szCs w:val="21"/>
                <w:highlight w:val="none"/>
                <w:lang w:eastAsia="zh-CN"/>
              </w:rPr>
            </w:pPr>
            <w:r>
              <w:rPr>
                <w:rFonts w:hint="eastAsia"/>
                <w:color w:val="auto"/>
                <w:sz w:val="21"/>
                <w:szCs w:val="21"/>
                <w:highlight w:val="none"/>
              </w:rPr>
              <w:t>2.2.</w:t>
            </w:r>
            <w:r>
              <w:rPr>
                <w:rFonts w:hint="eastAsia"/>
                <w:color w:val="auto"/>
                <w:sz w:val="21"/>
                <w:szCs w:val="21"/>
                <w:highlight w:val="none"/>
                <w:lang w:val="en-US" w:eastAsia="zh-CN"/>
              </w:rPr>
              <w:t>3</w:t>
            </w:r>
          </w:p>
        </w:tc>
        <w:tc>
          <w:tcPr>
            <w:tcW w:w="1081" w:type="dxa"/>
            <w:vAlign w:val="top"/>
          </w:tcPr>
          <w:p w14:paraId="2F81C31D">
            <w:pPr>
              <w:pStyle w:val="36"/>
              <w:spacing w:line="280" w:lineRule="exact"/>
              <w:ind w:firstLine="420" w:firstLineChars="200"/>
              <w:rPr>
                <w:rFonts w:hint="eastAsia"/>
                <w:color w:val="auto"/>
                <w:sz w:val="21"/>
                <w:szCs w:val="21"/>
                <w:highlight w:val="none"/>
              </w:rPr>
            </w:pPr>
          </w:p>
          <w:p w14:paraId="2D9627D9">
            <w:pPr>
              <w:pStyle w:val="36"/>
              <w:spacing w:line="280" w:lineRule="exact"/>
              <w:ind w:firstLine="420" w:firstLineChars="200"/>
              <w:rPr>
                <w:rFonts w:hint="eastAsia"/>
                <w:color w:val="auto"/>
                <w:sz w:val="21"/>
                <w:szCs w:val="21"/>
                <w:highlight w:val="none"/>
              </w:rPr>
            </w:pPr>
          </w:p>
          <w:p w14:paraId="15FD1C52">
            <w:pPr>
              <w:pStyle w:val="36"/>
              <w:spacing w:line="280" w:lineRule="exact"/>
              <w:ind w:firstLine="420" w:firstLineChars="200"/>
              <w:rPr>
                <w:rFonts w:hint="eastAsia"/>
                <w:color w:val="auto"/>
                <w:sz w:val="21"/>
                <w:szCs w:val="21"/>
                <w:highlight w:val="none"/>
              </w:rPr>
            </w:pPr>
          </w:p>
          <w:p w14:paraId="3759D401">
            <w:pPr>
              <w:pStyle w:val="36"/>
              <w:spacing w:line="280" w:lineRule="exact"/>
              <w:ind w:firstLine="420" w:firstLineChars="200"/>
              <w:jc w:val="center"/>
              <w:rPr>
                <w:rFonts w:hint="eastAsia"/>
                <w:color w:val="auto"/>
                <w:sz w:val="21"/>
                <w:szCs w:val="21"/>
                <w:highlight w:val="none"/>
              </w:rPr>
            </w:pPr>
          </w:p>
          <w:p w14:paraId="78E39C3C">
            <w:pPr>
              <w:pStyle w:val="36"/>
              <w:spacing w:line="280" w:lineRule="exact"/>
              <w:ind w:firstLine="420" w:firstLineChars="200"/>
              <w:rPr>
                <w:rFonts w:hint="eastAsia"/>
                <w:color w:val="auto"/>
                <w:sz w:val="21"/>
                <w:szCs w:val="21"/>
                <w:highlight w:val="none"/>
              </w:rPr>
            </w:pPr>
          </w:p>
          <w:p w14:paraId="248B3A88">
            <w:pPr>
              <w:pStyle w:val="36"/>
              <w:spacing w:line="280" w:lineRule="exact"/>
              <w:jc w:val="center"/>
              <w:rPr>
                <w:rFonts w:hint="eastAsia"/>
                <w:color w:val="auto"/>
                <w:sz w:val="21"/>
                <w:szCs w:val="21"/>
                <w:highlight w:val="none"/>
              </w:rPr>
            </w:pPr>
            <w:r>
              <w:rPr>
                <w:rFonts w:hint="eastAsia"/>
                <w:color w:val="auto"/>
                <w:sz w:val="21"/>
                <w:szCs w:val="21"/>
                <w:highlight w:val="none"/>
              </w:rPr>
              <w:t>评标价</w:t>
            </w:r>
          </w:p>
        </w:tc>
        <w:tc>
          <w:tcPr>
            <w:tcW w:w="7046" w:type="dxa"/>
            <w:vAlign w:val="top"/>
          </w:tcPr>
          <w:p w14:paraId="5ECD4C70">
            <w:pPr>
              <w:pStyle w:val="36"/>
              <w:spacing w:line="280" w:lineRule="exact"/>
              <w:ind w:firstLine="420" w:firstLineChars="200"/>
              <w:rPr>
                <w:rFonts w:hint="eastAsia"/>
                <w:color w:val="auto"/>
                <w:sz w:val="21"/>
                <w:szCs w:val="21"/>
                <w:highlight w:val="none"/>
              </w:rPr>
            </w:pPr>
            <w:r>
              <w:rPr>
                <w:rFonts w:hint="eastAsia"/>
                <w:color w:val="auto"/>
                <w:sz w:val="21"/>
                <w:szCs w:val="21"/>
                <w:highlight w:val="none"/>
              </w:rPr>
              <w:t>评标价得分 P：</w:t>
            </w:r>
          </w:p>
          <w:p w14:paraId="0EBAFD2D">
            <w:pPr>
              <w:pStyle w:val="36"/>
              <w:spacing w:line="280" w:lineRule="exact"/>
              <w:ind w:firstLine="420" w:firstLineChars="200"/>
              <w:rPr>
                <w:rFonts w:hint="eastAsia"/>
                <w:color w:val="auto"/>
                <w:sz w:val="21"/>
                <w:szCs w:val="21"/>
                <w:highlight w:val="none"/>
              </w:rPr>
            </w:pPr>
            <w:r>
              <w:rPr>
                <w:rFonts w:hint="eastAsia"/>
                <w:color w:val="auto"/>
                <w:sz w:val="21"/>
                <w:szCs w:val="21"/>
                <w:highlight w:val="none"/>
              </w:rPr>
              <w:t>(1) 如果</w:t>
            </w:r>
            <w:r>
              <w:rPr>
                <w:rFonts w:hint="eastAsia"/>
                <w:color w:val="auto"/>
                <w:sz w:val="21"/>
                <w:szCs w:val="21"/>
                <w:highlight w:val="none"/>
                <w:lang w:eastAsia="zh-CN"/>
              </w:rPr>
              <w:t>比选人</w:t>
            </w:r>
            <w:r>
              <w:rPr>
                <w:rFonts w:hint="eastAsia"/>
                <w:color w:val="auto"/>
                <w:sz w:val="21"/>
                <w:szCs w:val="21"/>
                <w:highlight w:val="none"/>
              </w:rPr>
              <w:t>的评标价＞评标基准价，则评标价得分 P=100－偏差率 × 100×1.2</w:t>
            </w:r>
          </w:p>
          <w:p w14:paraId="2DE91CE4">
            <w:pPr>
              <w:pStyle w:val="36"/>
              <w:spacing w:line="280" w:lineRule="exact"/>
              <w:ind w:firstLine="420" w:firstLineChars="200"/>
              <w:rPr>
                <w:rFonts w:hint="eastAsia"/>
                <w:color w:val="auto"/>
                <w:sz w:val="21"/>
                <w:szCs w:val="21"/>
                <w:highlight w:val="none"/>
              </w:rPr>
            </w:pPr>
            <w:r>
              <w:rPr>
                <w:rFonts w:hint="eastAsia"/>
                <w:color w:val="auto"/>
                <w:sz w:val="21"/>
                <w:szCs w:val="21"/>
                <w:highlight w:val="none"/>
              </w:rPr>
              <w:t>(2) 如果</w:t>
            </w:r>
            <w:r>
              <w:rPr>
                <w:rFonts w:hint="eastAsia"/>
                <w:color w:val="auto"/>
                <w:sz w:val="21"/>
                <w:szCs w:val="21"/>
                <w:highlight w:val="none"/>
                <w:lang w:eastAsia="zh-CN"/>
              </w:rPr>
              <w:t>比选人</w:t>
            </w:r>
            <w:r>
              <w:rPr>
                <w:rFonts w:hint="eastAsia"/>
                <w:color w:val="auto"/>
                <w:sz w:val="21"/>
                <w:szCs w:val="21"/>
                <w:highlight w:val="none"/>
              </w:rPr>
              <w:t>的评标价≤评标基准价，则评标价得分 P=100－偏差率 × 100×1</w:t>
            </w:r>
          </w:p>
          <w:p w14:paraId="07E1A37B">
            <w:pPr>
              <w:pStyle w:val="36"/>
              <w:spacing w:line="280" w:lineRule="exact"/>
              <w:ind w:firstLine="420" w:firstLineChars="200"/>
              <w:rPr>
                <w:rFonts w:hint="eastAsia"/>
                <w:color w:val="auto"/>
                <w:sz w:val="21"/>
                <w:szCs w:val="21"/>
                <w:highlight w:val="none"/>
              </w:rPr>
            </w:pPr>
            <w:r>
              <w:rPr>
                <w:rFonts w:hint="eastAsia"/>
                <w:color w:val="auto"/>
                <w:sz w:val="21"/>
                <w:szCs w:val="21"/>
                <w:highlight w:val="none"/>
              </w:rPr>
              <w:t>评标价得分计算“ 四舍五入 ”至少保留小数点后 2 位。</w:t>
            </w:r>
          </w:p>
        </w:tc>
      </w:tr>
      <w:tr w14:paraId="65608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9148" w:type="dxa"/>
            <w:gridSpan w:val="3"/>
            <w:vAlign w:val="center"/>
          </w:tcPr>
          <w:p w14:paraId="3C53B0B5">
            <w:pPr>
              <w:pStyle w:val="36"/>
              <w:spacing w:line="280" w:lineRule="exact"/>
              <w:jc w:val="both"/>
              <w:rPr>
                <w:rFonts w:hint="eastAsia"/>
                <w:color w:val="auto"/>
                <w:sz w:val="21"/>
                <w:szCs w:val="21"/>
                <w:highlight w:val="none"/>
              </w:rPr>
            </w:pPr>
            <w:r>
              <w:rPr>
                <w:rFonts w:hint="eastAsia"/>
                <w:color w:val="auto"/>
                <w:sz w:val="21"/>
                <w:szCs w:val="21"/>
                <w:highlight w:val="none"/>
              </w:rPr>
              <w:t>需要补充的其他内容</w:t>
            </w:r>
          </w:p>
        </w:tc>
      </w:tr>
      <w:tr w14:paraId="3A667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1021" w:type="dxa"/>
            <w:vAlign w:val="top"/>
          </w:tcPr>
          <w:p w14:paraId="3BC5C4C1">
            <w:pPr>
              <w:pStyle w:val="36"/>
              <w:spacing w:line="280" w:lineRule="exact"/>
              <w:ind w:firstLine="420" w:firstLineChars="200"/>
              <w:rPr>
                <w:rFonts w:hint="eastAsia"/>
                <w:color w:val="auto"/>
                <w:sz w:val="21"/>
                <w:szCs w:val="21"/>
                <w:highlight w:val="none"/>
              </w:rPr>
            </w:pPr>
          </w:p>
          <w:p w14:paraId="40BFA234">
            <w:pPr>
              <w:pStyle w:val="36"/>
              <w:spacing w:line="280" w:lineRule="exact"/>
              <w:ind w:firstLine="420" w:firstLineChars="200"/>
              <w:rPr>
                <w:rFonts w:hint="eastAsia"/>
                <w:color w:val="auto"/>
                <w:sz w:val="21"/>
                <w:szCs w:val="21"/>
                <w:highlight w:val="none"/>
              </w:rPr>
            </w:pPr>
          </w:p>
          <w:p w14:paraId="1EE20F51">
            <w:pPr>
              <w:pStyle w:val="36"/>
              <w:spacing w:line="280" w:lineRule="exact"/>
              <w:jc w:val="center"/>
              <w:rPr>
                <w:rFonts w:hint="eastAsia"/>
                <w:color w:val="auto"/>
                <w:sz w:val="21"/>
                <w:szCs w:val="21"/>
                <w:highlight w:val="none"/>
              </w:rPr>
            </w:pPr>
            <w:r>
              <w:rPr>
                <w:rFonts w:hint="eastAsia"/>
                <w:color w:val="auto"/>
                <w:sz w:val="21"/>
                <w:szCs w:val="21"/>
                <w:highlight w:val="none"/>
              </w:rPr>
              <w:t>3</w:t>
            </w:r>
          </w:p>
        </w:tc>
        <w:tc>
          <w:tcPr>
            <w:tcW w:w="1081" w:type="dxa"/>
            <w:vAlign w:val="center"/>
          </w:tcPr>
          <w:p w14:paraId="39272044">
            <w:pPr>
              <w:pStyle w:val="36"/>
              <w:spacing w:line="280" w:lineRule="exact"/>
              <w:ind w:firstLine="420" w:firstLineChars="200"/>
              <w:jc w:val="center"/>
              <w:rPr>
                <w:rFonts w:hint="eastAsia"/>
                <w:color w:val="auto"/>
                <w:sz w:val="21"/>
                <w:szCs w:val="21"/>
                <w:highlight w:val="none"/>
              </w:rPr>
            </w:pPr>
          </w:p>
          <w:p w14:paraId="18AB56E1">
            <w:pPr>
              <w:pStyle w:val="36"/>
              <w:spacing w:line="280" w:lineRule="exact"/>
              <w:jc w:val="center"/>
              <w:rPr>
                <w:rFonts w:hint="eastAsia"/>
                <w:color w:val="auto"/>
                <w:sz w:val="21"/>
                <w:szCs w:val="21"/>
                <w:highlight w:val="none"/>
              </w:rPr>
            </w:pPr>
            <w:r>
              <w:rPr>
                <w:rFonts w:hint="eastAsia"/>
                <w:color w:val="auto"/>
                <w:sz w:val="21"/>
                <w:szCs w:val="21"/>
                <w:highlight w:val="none"/>
              </w:rPr>
              <w:t>澄清和说明</w:t>
            </w:r>
          </w:p>
        </w:tc>
        <w:tc>
          <w:tcPr>
            <w:tcW w:w="7046" w:type="dxa"/>
            <w:vAlign w:val="top"/>
          </w:tcPr>
          <w:p w14:paraId="217A140C">
            <w:pPr>
              <w:pStyle w:val="36"/>
              <w:spacing w:line="280" w:lineRule="exact"/>
              <w:ind w:firstLine="420" w:firstLineChars="200"/>
              <w:rPr>
                <w:rFonts w:hint="eastAsia"/>
                <w:color w:val="auto"/>
                <w:sz w:val="21"/>
                <w:szCs w:val="21"/>
                <w:highlight w:val="none"/>
              </w:rPr>
            </w:pPr>
            <w:r>
              <w:rPr>
                <w:rFonts w:hint="eastAsia"/>
                <w:color w:val="auto"/>
                <w:sz w:val="21"/>
                <w:szCs w:val="21"/>
                <w:highlight w:val="none"/>
                <w:lang w:eastAsia="zh-CN"/>
              </w:rPr>
              <w:t>比选人</w:t>
            </w:r>
            <w:r>
              <w:rPr>
                <w:rFonts w:hint="eastAsia"/>
                <w:color w:val="auto"/>
                <w:sz w:val="21"/>
                <w:szCs w:val="21"/>
                <w:highlight w:val="none"/>
              </w:rPr>
              <w:t>收到问题澄清通知后必须在规定时间内以书面（含传真）形式给予答复，</w:t>
            </w:r>
            <w:r>
              <w:rPr>
                <w:rFonts w:hint="eastAsia"/>
                <w:color w:val="auto"/>
                <w:sz w:val="21"/>
                <w:szCs w:val="21"/>
                <w:highlight w:val="none"/>
                <w:lang w:eastAsia="zh-CN"/>
              </w:rPr>
              <w:t>比选人</w:t>
            </w:r>
            <w:r>
              <w:rPr>
                <w:rFonts w:hint="eastAsia"/>
                <w:color w:val="auto"/>
                <w:sz w:val="21"/>
                <w:szCs w:val="21"/>
                <w:highlight w:val="none"/>
              </w:rPr>
              <w:t>的澄清必须加盖</w:t>
            </w:r>
            <w:r>
              <w:rPr>
                <w:rFonts w:hint="eastAsia"/>
                <w:color w:val="auto"/>
                <w:sz w:val="21"/>
                <w:szCs w:val="21"/>
                <w:highlight w:val="none"/>
                <w:lang w:eastAsia="zh-CN"/>
              </w:rPr>
              <w:t>比选人</w:t>
            </w:r>
            <w:r>
              <w:rPr>
                <w:rFonts w:hint="eastAsia"/>
                <w:color w:val="auto"/>
                <w:sz w:val="21"/>
                <w:szCs w:val="21"/>
                <w:highlight w:val="none"/>
              </w:rPr>
              <w:t>单位章或由法定代表人或其委托代理人签字。</w:t>
            </w:r>
          </w:p>
        </w:tc>
      </w:tr>
    </w:tbl>
    <w:p w14:paraId="3F139B67">
      <w:pPr>
        <w:pStyle w:val="36"/>
        <w:spacing w:line="280" w:lineRule="exact"/>
        <w:ind w:firstLine="420" w:firstLineChars="200"/>
        <w:rPr>
          <w:rFonts w:hint="eastAsia"/>
          <w:color w:val="auto"/>
          <w:sz w:val="21"/>
          <w:szCs w:val="21"/>
          <w:highlight w:val="none"/>
        </w:rPr>
      </w:pPr>
    </w:p>
    <w:p w14:paraId="053CEC10">
      <w:pPr>
        <w:pStyle w:val="36"/>
        <w:spacing w:line="280" w:lineRule="exact"/>
        <w:ind w:firstLine="420" w:firstLineChars="200"/>
        <w:rPr>
          <w:rFonts w:hint="eastAsia"/>
          <w:color w:val="auto"/>
          <w:sz w:val="21"/>
          <w:szCs w:val="21"/>
          <w:highlight w:val="none"/>
        </w:rPr>
      </w:pPr>
    </w:p>
    <w:p w14:paraId="49FB9722">
      <w:pPr>
        <w:pStyle w:val="36"/>
        <w:spacing w:line="280" w:lineRule="exact"/>
        <w:ind w:firstLine="420" w:firstLineChars="200"/>
        <w:rPr>
          <w:rFonts w:hint="eastAsia"/>
          <w:color w:val="auto"/>
          <w:sz w:val="21"/>
          <w:szCs w:val="21"/>
          <w:highlight w:val="none"/>
        </w:rPr>
      </w:pPr>
    </w:p>
    <w:p w14:paraId="4332219E">
      <w:pPr>
        <w:pStyle w:val="12"/>
        <w:kinsoku w:val="0"/>
        <w:overflowPunct w:val="0"/>
        <w:spacing w:before="0" w:line="360" w:lineRule="auto"/>
        <w:ind w:left="0"/>
        <w:jc w:val="center"/>
        <w:rPr>
          <w:rFonts w:cs="宋体"/>
          <w:b/>
          <w:color w:val="auto"/>
          <w:sz w:val="28"/>
          <w:highlight w:val="none"/>
        </w:rPr>
      </w:pPr>
    </w:p>
    <w:p w14:paraId="356FF0D2">
      <w:pPr>
        <w:pStyle w:val="12"/>
        <w:kinsoku w:val="0"/>
        <w:overflowPunct w:val="0"/>
        <w:spacing w:before="0" w:line="360" w:lineRule="auto"/>
        <w:ind w:left="0"/>
        <w:jc w:val="center"/>
        <w:rPr>
          <w:rFonts w:cs="宋体"/>
          <w:b/>
          <w:color w:val="auto"/>
          <w:sz w:val="28"/>
          <w:highlight w:val="none"/>
        </w:rPr>
      </w:pPr>
    </w:p>
    <w:p w14:paraId="12309FF4">
      <w:pPr>
        <w:pStyle w:val="12"/>
        <w:kinsoku w:val="0"/>
        <w:overflowPunct w:val="0"/>
        <w:spacing w:before="0" w:line="360" w:lineRule="auto"/>
        <w:ind w:left="0"/>
        <w:jc w:val="center"/>
        <w:rPr>
          <w:rFonts w:cs="宋体"/>
          <w:b/>
          <w:color w:val="auto"/>
          <w:sz w:val="28"/>
          <w:highlight w:val="none"/>
        </w:rPr>
      </w:pPr>
    </w:p>
    <w:p w14:paraId="08F1E2D9">
      <w:pPr>
        <w:pStyle w:val="12"/>
        <w:kinsoku w:val="0"/>
        <w:overflowPunct w:val="0"/>
        <w:spacing w:before="0" w:line="360" w:lineRule="auto"/>
        <w:ind w:left="0"/>
        <w:jc w:val="center"/>
        <w:rPr>
          <w:rFonts w:cs="宋体"/>
          <w:b/>
          <w:color w:val="auto"/>
          <w:sz w:val="28"/>
          <w:highlight w:val="none"/>
        </w:rPr>
      </w:pPr>
    </w:p>
    <w:p w14:paraId="0615367B">
      <w:pPr>
        <w:pStyle w:val="12"/>
        <w:kinsoku w:val="0"/>
        <w:overflowPunct w:val="0"/>
        <w:spacing w:before="0" w:line="360" w:lineRule="auto"/>
        <w:ind w:left="0"/>
        <w:jc w:val="center"/>
        <w:rPr>
          <w:rFonts w:cs="宋体"/>
          <w:b/>
          <w:color w:val="auto"/>
          <w:sz w:val="28"/>
          <w:highlight w:val="none"/>
        </w:rPr>
      </w:pPr>
    </w:p>
    <w:p w14:paraId="0BE35E4F">
      <w:pPr>
        <w:pStyle w:val="12"/>
        <w:kinsoku w:val="0"/>
        <w:overflowPunct w:val="0"/>
        <w:spacing w:before="0" w:line="360" w:lineRule="auto"/>
        <w:ind w:left="0"/>
        <w:jc w:val="center"/>
        <w:rPr>
          <w:rFonts w:cs="宋体"/>
          <w:b/>
          <w:color w:val="auto"/>
          <w:sz w:val="28"/>
          <w:highlight w:val="none"/>
        </w:rPr>
      </w:pPr>
    </w:p>
    <w:p w14:paraId="5C86E3B9">
      <w:pPr>
        <w:pStyle w:val="12"/>
        <w:kinsoku w:val="0"/>
        <w:overflowPunct w:val="0"/>
        <w:spacing w:before="0" w:line="360" w:lineRule="auto"/>
        <w:ind w:left="0"/>
        <w:jc w:val="center"/>
        <w:rPr>
          <w:rFonts w:cs="宋体"/>
          <w:b/>
          <w:color w:val="auto"/>
          <w:sz w:val="28"/>
          <w:highlight w:val="none"/>
        </w:rPr>
      </w:pPr>
    </w:p>
    <w:p w14:paraId="7ECB7FD9">
      <w:pPr>
        <w:pStyle w:val="12"/>
        <w:kinsoku w:val="0"/>
        <w:overflowPunct w:val="0"/>
        <w:spacing w:before="0" w:line="360" w:lineRule="auto"/>
        <w:ind w:left="0"/>
        <w:jc w:val="center"/>
        <w:rPr>
          <w:rFonts w:cs="宋体"/>
          <w:b/>
          <w:color w:val="auto"/>
          <w:sz w:val="28"/>
          <w:highlight w:val="none"/>
        </w:rPr>
      </w:pPr>
    </w:p>
    <w:p w14:paraId="7BF44776">
      <w:pPr>
        <w:pStyle w:val="12"/>
        <w:kinsoku w:val="0"/>
        <w:overflowPunct w:val="0"/>
        <w:spacing w:before="0" w:line="360" w:lineRule="auto"/>
        <w:ind w:left="0"/>
        <w:jc w:val="center"/>
        <w:rPr>
          <w:rFonts w:cs="宋体"/>
          <w:b/>
          <w:color w:val="auto"/>
          <w:sz w:val="28"/>
          <w:highlight w:val="none"/>
        </w:rPr>
      </w:pPr>
    </w:p>
    <w:p w14:paraId="3117635C">
      <w:pPr>
        <w:pStyle w:val="12"/>
        <w:kinsoku w:val="0"/>
        <w:overflowPunct w:val="0"/>
        <w:spacing w:before="0" w:line="360" w:lineRule="auto"/>
        <w:ind w:left="0"/>
        <w:jc w:val="center"/>
        <w:rPr>
          <w:rFonts w:cs="宋体"/>
          <w:b/>
          <w:color w:val="auto"/>
          <w:sz w:val="28"/>
          <w:highlight w:val="none"/>
        </w:rPr>
      </w:pPr>
    </w:p>
    <w:p w14:paraId="51EC4619">
      <w:pPr>
        <w:pStyle w:val="12"/>
        <w:kinsoku w:val="0"/>
        <w:overflowPunct w:val="0"/>
        <w:spacing w:before="0" w:line="360" w:lineRule="auto"/>
        <w:ind w:left="0"/>
        <w:jc w:val="center"/>
        <w:rPr>
          <w:rFonts w:cs="宋体"/>
          <w:b/>
          <w:color w:val="auto"/>
          <w:sz w:val="28"/>
          <w:highlight w:val="none"/>
        </w:rPr>
      </w:pPr>
    </w:p>
    <w:p w14:paraId="68305D76">
      <w:pPr>
        <w:pStyle w:val="12"/>
        <w:kinsoku w:val="0"/>
        <w:overflowPunct w:val="0"/>
        <w:spacing w:before="0" w:line="360" w:lineRule="auto"/>
        <w:ind w:left="0"/>
        <w:jc w:val="center"/>
        <w:rPr>
          <w:rFonts w:cs="宋体"/>
          <w:b/>
          <w:color w:val="auto"/>
          <w:sz w:val="28"/>
          <w:highlight w:val="none"/>
        </w:rPr>
      </w:pPr>
    </w:p>
    <w:p w14:paraId="26339EE3">
      <w:pPr>
        <w:pStyle w:val="12"/>
        <w:kinsoku w:val="0"/>
        <w:overflowPunct w:val="0"/>
        <w:spacing w:before="0" w:line="360" w:lineRule="auto"/>
        <w:ind w:left="0"/>
        <w:jc w:val="both"/>
        <w:rPr>
          <w:rFonts w:cs="宋体"/>
          <w:b/>
          <w:color w:val="auto"/>
          <w:sz w:val="28"/>
          <w:highlight w:val="none"/>
        </w:rPr>
      </w:pPr>
    </w:p>
    <w:p w14:paraId="2BBEC641">
      <w:pPr>
        <w:pStyle w:val="12"/>
        <w:kinsoku w:val="0"/>
        <w:overflowPunct w:val="0"/>
        <w:spacing w:before="0" w:line="360" w:lineRule="auto"/>
        <w:ind w:left="0"/>
        <w:jc w:val="center"/>
        <w:rPr>
          <w:rFonts w:hint="default" w:cs="宋体"/>
          <w:color w:val="auto"/>
          <w:sz w:val="28"/>
          <w:highlight w:val="none"/>
        </w:rPr>
      </w:pPr>
      <w:r>
        <w:rPr>
          <w:rFonts w:cs="宋体"/>
          <w:b/>
          <w:color w:val="auto"/>
          <w:sz w:val="28"/>
          <w:highlight w:val="none"/>
        </w:rPr>
        <w:t>（二）招选办法（正文）</w:t>
      </w:r>
    </w:p>
    <w:p w14:paraId="4EFB3CD3">
      <w:pPr>
        <w:pStyle w:val="12"/>
        <w:kinsoku w:val="0"/>
        <w:overflowPunct w:val="0"/>
        <w:spacing w:before="0" w:line="360" w:lineRule="auto"/>
        <w:ind w:left="0"/>
        <w:rPr>
          <w:rFonts w:hint="default" w:cs="宋体"/>
          <w:b/>
          <w:color w:val="auto"/>
          <w:sz w:val="24"/>
          <w:highlight w:val="none"/>
        </w:rPr>
      </w:pPr>
    </w:p>
    <w:p w14:paraId="7959E06F">
      <w:pPr>
        <w:pStyle w:val="12"/>
        <w:kinsoku w:val="0"/>
        <w:overflowPunct w:val="0"/>
        <w:spacing w:before="0" w:line="360" w:lineRule="auto"/>
        <w:ind w:left="0"/>
        <w:rPr>
          <w:rFonts w:hint="default" w:cs="宋体"/>
          <w:b/>
          <w:color w:val="auto"/>
          <w:sz w:val="24"/>
          <w:highlight w:val="none"/>
        </w:rPr>
      </w:pPr>
      <w:r>
        <w:rPr>
          <w:rFonts w:cs="宋体"/>
          <w:b/>
          <w:color w:val="auto"/>
          <w:sz w:val="24"/>
          <w:highlight w:val="none"/>
        </w:rPr>
        <w:t>1.招选办法</w:t>
      </w:r>
    </w:p>
    <w:p w14:paraId="2DC7EA94">
      <w:pPr>
        <w:pStyle w:val="12"/>
        <w:kinsoku w:val="0"/>
        <w:overflowPunct w:val="0"/>
        <w:spacing w:before="36" w:line="360" w:lineRule="auto"/>
        <w:ind w:left="153" w:right="84" w:firstLine="400"/>
        <w:rPr>
          <w:rFonts w:hint="default" w:cs="宋体"/>
          <w:color w:val="auto"/>
          <w:highlight w:val="none"/>
        </w:rPr>
      </w:pPr>
      <w:r>
        <w:rPr>
          <w:rFonts w:cs="宋体"/>
          <w:color w:val="auto"/>
          <w:highlight w:val="none"/>
        </w:rPr>
        <w:t>本次招选采用</w:t>
      </w:r>
      <w:r>
        <w:rPr>
          <w:rFonts w:hint="eastAsia" w:cs="宋体"/>
          <w:color w:val="auto"/>
          <w:highlight w:val="none"/>
          <w:lang w:val="en-US" w:eastAsia="zh-CN"/>
        </w:rPr>
        <w:t>合理低价</w:t>
      </w:r>
      <w:r>
        <w:rPr>
          <w:rFonts w:cs="宋体"/>
          <w:color w:val="auto"/>
          <w:highlight w:val="none"/>
        </w:rPr>
        <w:t>法。招选委员会对满足招选文件实质性要求的</w:t>
      </w:r>
      <w:r>
        <w:rPr>
          <w:rFonts w:cs="宋体"/>
          <w:color w:val="auto"/>
          <w:szCs w:val="22"/>
          <w:highlight w:val="none"/>
        </w:rPr>
        <w:t>比选文件</w:t>
      </w:r>
      <w:r>
        <w:rPr>
          <w:rFonts w:cs="宋体"/>
          <w:color w:val="auto"/>
          <w:highlight w:val="none"/>
        </w:rPr>
        <w:t>，按照本章第 2.2 款规定的评分标准进行打分，并按得分由高到低顺序推荐中选候选人，但比选报价低于其成本的除外。综合评分相等时，招选委员会应按照招选办法前附表规定的优先次序推荐中选候选人或确定中选人。</w:t>
      </w:r>
    </w:p>
    <w:p w14:paraId="51A17FBE">
      <w:pPr>
        <w:pStyle w:val="12"/>
        <w:kinsoku w:val="0"/>
        <w:overflowPunct w:val="0"/>
        <w:spacing w:before="0" w:line="360" w:lineRule="auto"/>
        <w:ind w:left="0"/>
        <w:rPr>
          <w:rFonts w:hint="default" w:cs="宋体"/>
          <w:b/>
          <w:color w:val="auto"/>
          <w:sz w:val="24"/>
          <w:szCs w:val="22"/>
          <w:highlight w:val="none"/>
        </w:rPr>
      </w:pPr>
      <w:r>
        <w:rPr>
          <w:rFonts w:cs="宋体"/>
          <w:b/>
          <w:color w:val="auto"/>
          <w:sz w:val="24"/>
          <w:szCs w:val="22"/>
          <w:highlight w:val="none"/>
        </w:rPr>
        <w:t>2.评审标准</w:t>
      </w:r>
    </w:p>
    <w:p w14:paraId="219F1E2B">
      <w:pPr>
        <w:pStyle w:val="12"/>
        <w:kinsoku w:val="0"/>
        <w:overflowPunct w:val="0"/>
        <w:spacing w:before="42" w:line="360" w:lineRule="auto"/>
        <w:ind w:left="153" w:right="84"/>
        <w:rPr>
          <w:rFonts w:hint="default" w:cs="宋体"/>
          <w:color w:val="auto"/>
          <w:highlight w:val="none"/>
        </w:rPr>
      </w:pPr>
      <w:r>
        <w:rPr>
          <w:rFonts w:cs="宋体"/>
          <w:color w:val="auto"/>
          <w:highlight w:val="none"/>
        </w:rPr>
        <w:t xml:space="preserve">2.1 </w:t>
      </w:r>
      <w:r>
        <w:rPr>
          <w:rFonts w:cs="宋体"/>
          <w:b/>
          <w:color w:val="auto"/>
          <w:highlight w:val="none"/>
        </w:rPr>
        <w:t>初步评审标准</w:t>
      </w:r>
      <w:r>
        <w:rPr>
          <w:rFonts w:cs="宋体"/>
          <w:color w:val="auto"/>
          <w:highlight w:val="none"/>
        </w:rPr>
        <w:t xml:space="preserve"> </w:t>
      </w:r>
    </w:p>
    <w:p w14:paraId="4CF7846F">
      <w:pPr>
        <w:pStyle w:val="12"/>
        <w:kinsoku w:val="0"/>
        <w:overflowPunct w:val="0"/>
        <w:spacing w:line="360" w:lineRule="auto"/>
        <w:ind w:right="84"/>
        <w:rPr>
          <w:rFonts w:hint="default" w:cs="宋体"/>
          <w:color w:val="auto"/>
          <w:highlight w:val="none"/>
        </w:rPr>
      </w:pPr>
      <w:r>
        <w:rPr>
          <w:rFonts w:cs="宋体"/>
          <w:color w:val="auto"/>
          <w:highlight w:val="none"/>
        </w:rPr>
        <w:t>2.1.1 形式评审标准：见招选办法前附表。</w:t>
      </w:r>
    </w:p>
    <w:p w14:paraId="73AD05BD">
      <w:pPr>
        <w:pStyle w:val="12"/>
        <w:kinsoku w:val="0"/>
        <w:overflowPunct w:val="0"/>
        <w:spacing w:line="360" w:lineRule="auto"/>
        <w:ind w:right="84"/>
        <w:rPr>
          <w:rFonts w:hint="default" w:cs="宋体"/>
          <w:color w:val="auto"/>
          <w:highlight w:val="none"/>
        </w:rPr>
      </w:pPr>
      <w:r>
        <w:rPr>
          <w:rFonts w:cs="宋体"/>
          <w:color w:val="auto"/>
          <w:highlight w:val="none"/>
        </w:rPr>
        <w:t>2.1.2 资格评审标准：见招选办法前附表。</w:t>
      </w:r>
    </w:p>
    <w:p w14:paraId="5F359526">
      <w:pPr>
        <w:pStyle w:val="12"/>
        <w:kinsoku w:val="0"/>
        <w:overflowPunct w:val="0"/>
        <w:spacing w:before="135" w:line="360" w:lineRule="auto"/>
        <w:ind w:right="84"/>
        <w:rPr>
          <w:rFonts w:hint="default" w:cs="宋体"/>
          <w:color w:val="auto"/>
          <w:highlight w:val="none"/>
        </w:rPr>
      </w:pPr>
      <w:r>
        <w:rPr>
          <w:rFonts w:cs="宋体"/>
          <w:color w:val="auto"/>
          <w:highlight w:val="none"/>
        </w:rPr>
        <w:t>2.1.3 响应性评审标准：见招选办法前附表。</w:t>
      </w:r>
    </w:p>
    <w:p w14:paraId="18813C45">
      <w:pPr>
        <w:spacing w:before="164" w:line="228" w:lineRule="auto"/>
        <w:ind w:left="10"/>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2.2</w:t>
      </w:r>
      <w:r>
        <w:rPr>
          <w:rFonts w:ascii="宋体" w:hAnsi="宋体" w:eastAsia="宋体" w:cs="宋体"/>
          <w:color w:val="auto"/>
          <w:spacing w:val="-32"/>
          <w:sz w:val="20"/>
          <w:szCs w:val="20"/>
          <w:highlight w:val="none"/>
        </w:rPr>
        <w:t xml:space="preserve"> </w:t>
      </w:r>
      <w:r>
        <w:rPr>
          <w:rFonts w:ascii="宋体" w:hAnsi="宋体" w:eastAsia="宋体" w:cs="宋体"/>
          <w:b/>
          <w:bCs/>
          <w:color w:val="auto"/>
          <w:spacing w:val="5"/>
          <w:sz w:val="20"/>
          <w:szCs w:val="20"/>
          <w:highlight w:val="none"/>
        </w:rPr>
        <w:t>分值构成与评分标准</w:t>
      </w:r>
    </w:p>
    <w:p w14:paraId="7B328086">
      <w:pPr>
        <w:spacing w:before="161" w:line="228" w:lineRule="auto"/>
        <w:ind w:left="43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2.2.1</w:t>
      </w:r>
      <w:r>
        <w:rPr>
          <w:rFonts w:ascii="宋体" w:hAnsi="宋体" w:eastAsia="宋体" w:cs="宋体"/>
          <w:color w:val="auto"/>
          <w:spacing w:val="21"/>
          <w:sz w:val="20"/>
          <w:szCs w:val="20"/>
          <w:highlight w:val="none"/>
        </w:rPr>
        <w:t xml:space="preserve"> </w:t>
      </w:r>
      <w:r>
        <w:rPr>
          <w:rFonts w:ascii="宋体" w:hAnsi="宋体" w:eastAsia="宋体" w:cs="宋体"/>
          <w:color w:val="auto"/>
          <w:spacing w:val="4"/>
          <w:sz w:val="20"/>
          <w:szCs w:val="20"/>
          <w:highlight w:val="none"/>
        </w:rPr>
        <w:t>分值构成</w:t>
      </w:r>
    </w:p>
    <w:p w14:paraId="6513BF85">
      <w:pPr>
        <w:spacing w:before="162" w:line="226" w:lineRule="auto"/>
        <w:ind w:left="4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评标价：见评标办法前附表。</w:t>
      </w:r>
    </w:p>
    <w:p w14:paraId="73CC3A91">
      <w:pPr>
        <w:spacing w:before="163" w:line="226" w:lineRule="auto"/>
        <w:ind w:left="43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2.2.2 评标基准价计算</w:t>
      </w:r>
    </w:p>
    <w:p w14:paraId="6F43D29B">
      <w:pPr>
        <w:spacing w:before="163" w:line="226" w:lineRule="auto"/>
        <w:ind w:left="4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评标基准价计算方法：见评标办法前附表。</w:t>
      </w:r>
    </w:p>
    <w:p w14:paraId="3E46838F">
      <w:pPr>
        <w:spacing w:before="163" w:line="226" w:lineRule="auto"/>
        <w:ind w:left="4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2.2.3 评标价的偏差率计算</w:t>
      </w:r>
    </w:p>
    <w:p w14:paraId="4F750245">
      <w:pPr>
        <w:spacing w:before="166" w:line="226" w:lineRule="auto"/>
        <w:ind w:left="42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评标价的偏差率计算公式：见评标办法前附表。</w:t>
      </w:r>
    </w:p>
    <w:p w14:paraId="62420DCF">
      <w:pPr>
        <w:spacing w:before="163" w:line="228" w:lineRule="auto"/>
        <w:ind w:left="43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2.2.4 评分标准</w:t>
      </w:r>
    </w:p>
    <w:p w14:paraId="71FD9500">
      <w:pPr>
        <w:spacing w:before="161" w:line="226" w:lineRule="auto"/>
        <w:ind w:left="4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评标价评分标准：见评标办法前附表。</w:t>
      </w:r>
    </w:p>
    <w:p w14:paraId="2FB31DF9">
      <w:pPr>
        <w:pStyle w:val="12"/>
        <w:kinsoku w:val="0"/>
        <w:overflowPunct w:val="0"/>
        <w:spacing w:before="131" w:line="360" w:lineRule="auto"/>
        <w:ind w:left="153" w:right="84"/>
        <w:rPr>
          <w:rFonts w:hint="default" w:cs="宋体"/>
          <w:color w:val="auto"/>
          <w:sz w:val="24"/>
          <w:highlight w:val="none"/>
        </w:rPr>
      </w:pPr>
      <w:r>
        <w:rPr>
          <w:rFonts w:cs="宋体"/>
          <w:b/>
          <w:bCs/>
          <w:color w:val="auto"/>
          <w:sz w:val="24"/>
          <w:highlight w:val="none"/>
        </w:rPr>
        <w:t>3.招选</w:t>
      </w:r>
      <w:r>
        <w:rPr>
          <w:rFonts w:cs="宋体"/>
          <w:b/>
          <w:color w:val="auto"/>
          <w:sz w:val="24"/>
          <w:highlight w:val="none"/>
        </w:rPr>
        <w:t>程序</w:t>
      </w:r>
      <w:r>
        <w:rPr>
          <w:rFonts w:cs="宋体"/>
          <w:color w:val="auto"/>
          <w:sz w:val="24"/>
          <w:highlight w:val="none"/>
        </w:rPr>
        <w:t xml:space="preserve"> </w:t>
      </w:r>
    </w:p>
    <w:p w14:paraId="3D99DD6E">
      <w:pPr>
        <w:pStyle w:val="12"/>
        <w:kinsoku w:val="0"/>
        <w:overflowPunct w:val="0"/>
        <w:spacing w:before="0" w:line="360" w:lineRule="auto"/>
        <w:ind w:left="0"/>
        <w:rPr>
          <w:rFonts w:hint="default" w:cs="宋体"/>
          <w:color w:val="auto"/>
          <w:highlight w:val="none"/>
        </w:rPr>
      </w:pPr>
      <w:r>
        <w:rPr>
          <w:rFonts w:cs="宋体"/>
          <w:b/>
          <w:color w:val="auto"/>
          <w:sz w:val="24"/>
          <w:szCs w:val="22"/>
          <w:highlight w:val="none"/>
        </w:rPr>
        <w:t>3.1初步评审</w:t>
      </w:r>
    </w:p>
    <w:p w14:paraId="0035B4C3">
      <w:pPr>
        <w:pStyle w:val="12"/>
        <w:kinsoku w:val="0"/>
        <w:overflowPunct w:val="0"/>
        <w:spacing w:line="360" w:lineRule="auto"/>
        <w:ind w:left="0" w:right="84" w:firstLine="420" w:firstLineChars="200"/>
        <w:rPr>
          <w:rFonts w:hint="default" w:cs="宋体"/>
          <w:color w:val="auto"/>
          <w:szCs w:val="22"/>
          <w:highlight w:val="none"/>
        </w:rPr>
      </w:pPr>
      <w:r>
        <w:rPr>
          <w:rFonts w:cs="宋体"/>
          <w:color w:val="auto"/>
          <w:szCs w:val="22"/>
          <w:highlight w:val="none"/>
        </w:rPr>
        <w:t>3.1.1招选委员会可以要求比选人提交第二章“比选人须知”规定的有关证明和证件的原件， 以便核验。招选委员会依据本章第 2.1 款规定的标准对比选文件进行初步评审。有一项不符合评审标准的，招选委员会应当否决其比选。</w:t>
      </w:r>
    </w:p>
    <w:p w14:paraId="616916D2">
      <w:pPr>
        <w:pStyle w:val="12"/>
        <w:kinsoku w:val="0"/>
        <w:overflowPunct w:val="0"/>
        <w:spacing w:line="360" w:lineRule="auto"/>
        <w:ind w:left="0" w:right="84" w:firstLine="420" w:firstLineChars="200"/>
        <w:rPr>
          <w:rFonts w:hint="default" w:cs="宋体"/>
          <w:color w:val="auto"/>
          <w:szCs w:val="22"/>
          <w:highlight w:val="none"/>
        </w:rPr>
      </w:pPr>
      <w:r>
        <w:rPr>
          <w:rFonts w:cs="宋体"/>
          <w:color w:val="auto"/>
          <w:szCs w:val="22"/>
          <w:highlight w:val="none"/>
        </w:rPr>
        <w:t>3.1.2比选人有以下情形之一的，招选委员会应当否决其比选：</w:t>
      </w:r>
    </w:p>
    <w:p w14:paraId="2BFD6EC8">
      <w:pPr>
        <w:pStyle w:val="12"/>
        <w:kinsoku w:val="0"/>
        <w:overflowPunct w:val="0"/>
        <w:spacing w:line="360" w:lineRule="auto"/>
        <w:ind w:left="13" w:right="84" w:firstLine="558" w:firstLineChars="266"/>
        <w:rPr>
          <w:rFonts w:hint="default" w:cs="宋体"/>
          <w:color w:val="auto"/>
          <w:szCs w:val="22"/>
          <w:highlight w:val="none"/>
        </w:rPr>
      </w:pPr>
      <w:r>
        <w:rPr>
          <w:rFonts w:cs="宋体"/>
          <w:color w:val="auto"/>
          <w:szCs w:val="22"/>
          <w:highlight w:val="none"/>
        </w:rPr>
        <w:t>（1）比选文件没有对招选文件的实质性要求和条件作出响应，或者对比选文件的偏差超出招选文件规定的偏差范围或最高项数；</w:t>
      </w:r>
    </w:p>
    <w:p w14:paraId="15FB1B12">
      <w:pPr>
        <w:pStyle w:val="12"/>
        <w:kinsoku w:val="0"/>
        <w:overflowPunct w:val="0"/>
        <w:spacing w:line="360" w:lineRule="auto"/>
        <w:ind w:right="84"/>
        <w:rPr>
          <w:rFonts w:hint="default" w:cs="宋体"/>
          <w:color w:val="auto"/>
          <w:szCs w:val="22"/>
          <w:highlight w:val="none"/>
        </w:rPr>
      </w:pPr>
      <w:r>
        <w:rPr>
          <w:rFonts w:cs="宋体"/>
          <w:color w:val="auto"/>
          <w:szCs w:val="22"/>
          <w:highlight w:val="none"/>
        </w:rPr>
        <w:t>（2）有串通比选、弄虚作假、行贿等违法行为。</w:t>
      </w:r>
    </w:p>
    <w:p w14:paraId="3F46B562">
      <w:pPr>
        <w:pStyle w:val="12"/>
        <w:kinsoku w:val="0"/>
        <w:overflowPunct w:val="0"/>
        <w:spacing w:line="360" w:lineRule="auto"/>
        <w:ind w:left="0" w:right="84" w:firstLine="420" w:firstLineChars="200"/>
        <w:rPr>
          <w:rFonts w:hint="default" w:cs="宋体"/>
          <w:color w:val="auto"/>
          <w:szCs w:val="22"/>
          <w:highlight w:val="none"/>
        </w:rPr>
      </w:pPr>
      <w:r>
        <w:rPr>
          <w:rFonts w:cs="宋体"/>
          <w:color w:val="auto"/>
          <w:szCs w:val="22"/>
          <w:highlight w:val="none"/>
        </w:rPr>
        <w:t>3.1.3比选报价有算术错误及其他错误的，招选委员会按以下原则要求比选人对比选报价进行修正，并要求比选人书面澄清确认。比选人拒不澄清确认的，招选委员会应当否决其比选：</w:t>
      </w:r>
    </w:p>
    <w:p w14:paraId="576BB72E">
      <w:pPr>
        <w:pStyle w:val="12"/>
        <w:kinsoku w:val="0"/>
        <w:overflowPunct w:val="0"/>
        <w:spacing w:line="360" w:lineRule="auto"/>
        <w:ind w:right="84"/>
        <w:rPr>
          <w:rFonts w:hint="default" w:cs="宋体"/>
          <w:color w:val="auto"/>
          <w:szCs w:val="22"/>
          <w:highlight w:val="none"/>
        </w:rPr>
      </w:pPr>
      <w:r>
        <w:rPr>
          <w:rFonts w:cs="宋体"/>
          <w:color w:val="auto"/>
          <w:szCs w:val="22"/>
          <w:highlight w:val="none"/>
        </w:rPr>
        <w:t>（1）比选文件中的大写金额与小写金额不一致的，以大写金额为准；</w:t>
      </w:r>
    </w:p>
    <w:p w14:paraId="545D4D45">
      <w:pPr>
        <w:pStyle w:val="12"/>
        <w:kinsoku w:val="0"/>
        <w:overflowPunct w:val="0"/>
        <w:spacing w:line="360" w:lineRule="auto"/>
        <w:ind w:right="84"/>
        <w:rPr>
          <w:rFonts w:hint="default" w:cs="宋体"/>
          <w:color w:val="auto"/>
          <w:szCs w:val="22"/>
          <w:highlight w:val="none"/>
        </w:rPr>
      </w:pPr>
      <w:r>
        <w:rPr>
          <w:rFonts w:cs="宋体"/>
          <w:color w:val="auto"/>
          <w:szCs w:val="22"/>
          <w:highlight w:val="none"/>
        </w:rPr>
        <w:t>（2）总价金额与单价金额不一致的，以单价金额为准，但单价金额小数点有明显错误的除外；</w:t>
      </w:r>
    </w:p>
    <w:p w14:paraId="01D7A45F">
      <w:pPr>
        <w:pStyle w:val="12"/>
        <w:kinsoku w:val="0"/>
        <w:overflowPunct w:val="0"/>
        <w:spacing w:line="360" w:lineRule="auto"/>
        <w:ind w:left="0" w:right="84" w:firstLine="630" w:firstLineChars="300"/>
        <w:rPr>
          <w:rFonts w:hint="default" w:cs="宋体"/>
          <w:color w:val="auto"/>
          <w:szCs w:val="22"/>
          <w:highlight w:val="none"/>
        </w:rPr>
      </w:pPr>
      <w:r>
        <w:rPr>
          <w:rFonts w:cs="宋体"/>
          <w:color w:val="auto"/>
          <w:szCs w:val="22"/>
          <w:highlight w:val="none"/>
        </w:rPr>
        <w:t>（3）比选报价为各分项报价金额之和，比选报价与分项报价的合价不一致的，应以各分项合价累计数为准，修正比选报价；</w:t>
      </w:r>
    </w:p>
    <w:p w14:paraId="47A762FE">
      <w:pPr>
        <w:pStyle w:val="12"/>
        <w:kinsoku w:val="0"/>
        <w:overflowPunct w:val="0"/>
        <w:spacing w:line="360" w:lineRule="auto"/>
        <w:ind w:right="84"/>
        <w:rPr>
          <w:rFonts w:hint="default" w:cs="宋体"/>
          <w:color w:val="auto"/>
          <w:highlight w:val="none"/>
        </w:rPr>
      </w:pPr>
      <w:r>
        <w:rPr>
          <w:rFonts w:cs="宋体"/>
          <w:color w:val="auto"/>
          <w:szCs w:val="22"/>
          <w:highlight w:val="none"/>
        </w:rPr>
        <w:t>（4）如果分项报价中存在缺漏项，则视为缺漏项价格已包含在其他分项报价之中。</w:t>
      </w:r>
    </w:p>
    <w:p w14:paraId="5E5E5FF7">
      <w:pPr>
        <w:pStyle w:val="12"/>
        <w:kinsoku w:val="0"/>
        <w:overflowPunct w:val="0"/>
        <w:spacing w:before="0" w:line="360" w:lineRule="auto"/>
        <w:ind w:left="0"/>
        <w:rPr>
          <w:rFonts w:hint="default" w:cs="宋体"/>
          <w:color w:val="auto"/>
          <w:highlight w:val="none"/>
        </w:rPr>
      </w:pPr>
      <w:r>
        <w:rPr>
          <w:rFonts w:cs="宋体"/>
          <w:b/>
          <w:color w:val="auto"/>
          <w:sz w:val="24"/>
          <w:szCs w:val="22"/>
          <w:highlight w:val="none"/>
        </w:rPr>
        <w:t>3.2 详细评审</w:t>
      </w:r>
    </w:p>
    <w:p w14:paraId="4FEAFCD4">
      <w:pPr>
        <w:spacing w:before="162" w:line="301" w:lineRule="auto"/>
        <w:ind w:left="8" w:right="71" w:firstLine="42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 xml:space="preserve">3.2.1 </w:t>
      </w:r>
      <w:r>
        <w:rPr>
          <w:rFonts w:hint="eastAsia" w:ascii="宋体" w:hAnsi="宋体" w:cs="宋体"/>
          <w:color w:val="auto"/>
          <w:spacing w:val="10"/>
          <w:sz w:val="20"/>
          <w:szCs w:val="20"/>
          <w:highlight w:val="none"/>
          <w:lang w:val="en-US" w:eastAsia="zh-CN"/>
        </w:rPr>
        <w:t>评选</w:t>
      </w:r>
      <w:r>
        <w:rPr>
          <w:rFonts w:ascii="宋体" w:hAnsi="宋体" w:eastAsia="宋体" w:cs="宋体"/>
          <w:color w:val="auto"/>
          <w:spacing w:val="10"/>
          <w:sz w:val="20"/>
          <w:szCs w:val="20"/>
          <w:highlight w:val="none"/>
        </w:rPr>
        <w:t>委员会按本章第</w:t>
      </w:r>
      <w:r>
        <w:rPr>
          <w:rFonts w:ascii="宋体" w:hAnsi="宋体" w:eastAsia="宋体" w:cs="宋体"/>
          <w:color w:val="auto"/>
          <w:spacing w:val="-35"/>
          <w:sz w:val="20"/>
          <w:szCs w:val="20"/>
          <w:highlight w:val="none"/>
        </w:rPr>
        <w:t xml:space="preserve"> </w:t>
      </w:r>
      <w:r>
        <w:rPr>
          <w:rFonts w:ascii="宋体" w:hAnsi="宋体" w:eastAsia="宋体" w:cs="宋体"/>
          <w:color w:val="auto"/>
          <w:spacing w:val="10"/>
          <w:sz w:val="20"/>
          <w:szCs w:val="20"/>
          <w:highlight w:val="none"/>
        </w:rPr>
        <w:t>2.2</w:t>
      </w:r>
      <w:r>
        <w:rPr>
          <w:rFonts w:ascii="宋体" w:hAnsi="宋体" w:eastAsia="宋体" w:cs="宋体"/>
          <w:color w:val="auto"/>
          <w:spacing w:val="-37"/>
          <w:sz w:val="20"/>
          <w:szCs w:val="20"/>
          <w:highlight w:val="none"/>
        </w:rPr>
        <w:t xml:space="preserve"> </w:t>
      </w:r>
      <w:r>
        <w:rPr>
          <w:rFonts w:ascii="宋体" w:hAnsi="宋体" w:eastAsia="宋体" w:cs="宋体"/>
          <w:color w:val="auto"/>
          <w:spacing w:val="10"/>
          <w:sz w:val="20"/>
          <w:szCs w:val="20"/>
          <w:highlight w:val="none"/>
        </w:rPr>
        <w:t>款规</w:t>
      </w:r>
      <w:r>
        <w:rPr>
          <w:rFonts w:ascii="宋体" w:hAnsi="宋体" w:eastAsia="宋体" w:cs="宋体"/>
          <w:color w:val="auto"/>
          <w:spacing w:val="9"/>
          <w:sz w:val="20"/>
          <w:szCs w:val="20"/>
          <w:highlight w:val="none"/>
        </w:rPr>
        <w:t>定的量化因素和分值进行打分，并计算出综合评估得分（即评</w:t>
      </w:r>
      <w:r>
        <w:rPr>
          <w:rFonts w:ascii="宋体" w:hAnsi="宋体" w:eastAsia="宋体" w:cs="宋体"/>
          <w:color w:val="auto"/>
          <w:spacing w:val="4"/>
          <w:sz w:val="20"/>
          <w:szCs w:val="20"/>
          <w:highlight w:val="none"/>
        </w:rPr>
        <w:t>标价得分）。</w:t>
      </w:r>
    </w:p>
    <w:p w14:paraId="3B068C39">
      <w:pPr>
        <w:spacing w:before="165" w:line="226" w:lineRule="auto"/>
        <w:ind w:left="43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3.2.2 评标价得分分值计算保留小数点后</w:t>
      </w:r>
      <w:r>
        <w:rPr>
          <w:rFonts w:ascii="宋体" w:hAnsi="宋体" w:eastAsia="宋体" w:cs="宋体"/>
          <w:color w:val="auto"/>
          <w:spacing w:val="-22"/>
          <w:sz w:val="20"/>
          <w:szCs w:val="20"/>
          <w:highlight w:val="none"/>
        </w:rPr>
        <w:t xml:space="preserve"> </w:t>
      </w:r>
      <w:r>
        <w:rPr>
          <w:rFonts w:ascii="宋体" w:hAnsi="宋体" w:eastAsia="宋体" w:cs="宋体"/>
          <w:color w:val="auto"/>
          <w:spacing w:val="6"/>
          <w:sz w:val="20"/>
          <w:szCs w:val="20"/>
          <w:highlight w:val="none"/>
        </w:rPr>
        <w:t>2</w:t>
      </w:r>
      <w:r>
        <w:rPr>
          <w:rFonts w:ascii="宋体" w:hAnsi="宋体" w:eastAsia="宋体" w:cs="宋体"/>
          <w:color w:val="auto"/>
          <w:spacing w:val="-38"/>
          <w:sz w:val="20"/>
          <w:szCs w:val="20"/>
          <w:highlight w:val="none"/>
        </w:rPr>
        <w:t xml:space="preserve"> </w:t>
      </w:r>
      <w:r>
        <w:rPr>
          <w:rFonts w:ascii="宋体" w:hAnsi="宋体" w:eastAsia="宋体" w:cs="宋体"/>
          <w:color w:val="auto"/>
          <w:spacing w:val="6"/>
          <w:sz w:val="20"/>
          <w:szCs w:val="20"/>
          <w:highlight w:val="none"/>
        </w:rPr>
        <w:t>位，小数点后第</w:t>
      </w:r>
      <w:r>
        <w:rPr>
          <w:rFonts w:ascii="宋体" w:hAnsi="宋体" w:eastAsia="宋体" w:cs="宋体"/>
          <w:color w:val="auto"/>
          <w:spacing w:val="-35"/>
          <w:sz w:val="20"/>
          <w:szCs w:val="20"/>
          <w:highlight w:val="none"/>
        </w:rPr>
        <w:t xml:space="preserve"> </w:t>
      </w:r>
      <w:r>
        <w:rPr>
          <w:rFonts w:ascii="宋体" w:hAnsi="宋体" w:eastAsia="宋体" w:cs="宋体"/>
          <w:color w:val="auto"/>
          <w:spacing w:val="6"/>
          <w:sz w:val="20"/>
          <w:szCs w:val="20"/>
          <w:highlight w:val="none"/>
        </w:rPr>
        <w:t>3</w:t>
      </w:r>
      <w:r>
        <w:rPr>
          <w:rFonts w:ascii="宋体" w:hAnsi="宋体" w:eastAsia="宋体" w:cs="宋体"/>
          <w:color w:val="auto"/>
          <w:spacing w:val="-38"/>
          <w:sz w:val="20"/>
          <w:szCs w:val="20"/>
          <w:highlight w:val="none"/>
        </w:rPr>
        <w:t xml:space="preserve"> </w:t>
      </w:r>
      <w:r>
        <w:rPr>
          <w:rFonts w:ascii="宋体" w:hAnsi="宋体" w:eastAsia="宋体" w:cs="宋体"/>
          <w:color w:val="auto"/>
          <w:spacing w:val="6"/>
          <w:sz w:val="20"/>
          <w:szCs w:val="20"/>
          <w:highlight w:val="none"/>
        </w:rPr>
        <w:t>位“</w:t>
      </w:r>
      <w:r>
        <w:rPr>
          <w:rFonts w:ascii="宋体" w:hAnsi="宋体" w:eastAsia="宋体" w:cs="宋体"/>
          <w:color w:val="auto"/>
          <w:spacing w:val="-70"/>
          <w:sz w:val="20"/>
          <w:szCs w:val="20"/>
          <w:highlight w:val="none"/>
        </w:rPr>
        <w:t xml:space="preserve"> </w:t>
      </w:r>
      <w:r>
        <w:rPr>
          <w:rFonts w:ascii="宋体" w:hAnsi="宋体" w:eastAsia="宋体" w:cs="宋体"/>
          <w:color w:val="auto"/>
          <w:spacing w:val="6"/>
          <w:sz w:val="20"/>
          <w:szCs w:val="20"/>
          <w:highlight w:val="none"/>
        </w:rPr>
        <w:t>四舍五入</w:t>
      </w:r>
      <w:r>
        <w:rPr>
          <w:rFonts w:ascii="宋体" w:hAnsi="宋体" w:eastAsia="宋体" w:cs="宋体"/>
          <w:color w:val="auto"/>
          <w:spacing w:val="-70"/>
          <w:sz w:val="20"/>
          <w:szCs w:val="20"/>
          <w:highlight w:val="none"/>
        </w:rPr>
        <w:t xml:space="preserve"> </w:t>
      </w:r>
      <w:r>
        <w:rPr>
          <w:rFonts w:ascii="宋体" w:hAnsi="宋体" w:eastAsia="宋体" w:cs="宋体"/>
          <w:color w:val="auto"/>
          <w:spacing w:val="6"/>
          <w:sz w:val="20"/>
          <w:szCs w:val="20"/>
          <w:highlight w:val="none"/>
        </w:rPr>
        <w:t>”。</w:t>
      </w:r>
    </w:p>
    <w:p w14:paraId="24A16E73">
      <w:pPr>
        <w:spacing w:before="165" w:line="326" w:lineRule="auto"/>
        <w:ind w:left="7" w:right="70" w:firstLine="42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3.2.3</w:t>
      </w:r>
      <w:r>
        <w:rPr>
          <w:rFonts w:ascii="宋体" w:hAnsi="宋体" w:eastAsia="宋体" w:cs="宋体"/>
          <w:color w:val="auto"/>
          <w:spacing w:val="-39"/>
          <w:sz w:val="20"/>
          <w:szCs w:val="20"/>
          <w:highlight w:val="none"/>
        </w:rPr>
        <w:t xml:space="preserve"> </w:t>
      </w:r>
      <w:r>
        <w:rPr>
          <w:rFonts w:ascii="宋体" w:hAnsi="宋体" w:eastAsia="宋体" w:cs="宋体"/>
          <w:color w:val="auto"/>
          <w:spacing w:val="7"/>
          <w:sz w:val="20"/>
          <w:szCs w:val="20"/>
          <w:highlight w:val="none"/>
        </w:rPr>
        <w:t>评</w:t>
      </w:r>
      <w:r>
        <w:rPr>
          <w:rFonts w:hint="eastAsia" w:ascii="宋体" w:hAnsi="宋体" w:cs="宋体"/>
          <w:color w:val="auto"/>
          <w:spacing w:val="7"/>
          <w:sz w:val="20"/>
          <w:szCs w:val="20"/>
          <w:highlight w:val="none"/>
          <w:lang w:val="en-US" w:eastAsia="zh-CN"/>
        </w:rPr>
        <w:t>选</w:t>
      </w:r>
      <w:r>
        <w:rPr>
          <w:rFonts w:ascii="宋体" w:hAnsi="宋体" w:eastAsia="宋体" w:cs="宋体"/>
          <w:color w:val="auto"/>
          <w:spacing w:val="7"/>
          <w:sz w:val="20"/>
          <w:szCs w:val="20"/>
          <w:highlight w:val="none"/>
        </w:rPr>
        <w:t>委员会发现</w:t>
      </w:r>
      <w:r>
        <w:rPr>
          <w:rFonts w:hint="eastAsia" w:ascii="宋体" w:hAnsi="宋体" w:eastAsia="宋体" w:cs="宋体"/>
          <w:color w:val="auto"/>
          <w:spacing w:val="7"/>
          <w:sz w:val="20"/>
          <w:szCs w:val="20"/>
          <w:highlight w:val="none"/>
          <w:lang w:eastAsia="zh-CN"/>
        </w:rPr>
        <w:t>比选人</w:t>
      </w:r>
      <w:r>
        <w:rPr>
          <w:rFonts w:ascii="宋体" w:hAnsi="宋体" w:eastAsia="宋体" w:cs="宋体"/>
          <w:color w:val="auto"/>
          <w:spacing w:val="7"/>
          <w:sz w:val="20"/>
          <w:szCs w:val="20"/>
          <w:highlight w:val="none"/>
        </w:rPr>
        <w:t>的报价明显低于其他</w:t>
      </w:r>
      <w:r>
        <w:rPr>
          <w:rFonts w:hint="eastAsia" w:ascii="宋体" w:hAnsi="宋体" w:eastAsia="宋体" w:cs="宋体"/>
          <w:color w:val="auto"/>
          <w:spacing w:val="7"/>
          <w:sz w:val="20"/>
          <w:szCs w:val="20"/>
          <w:highlight w:val="none"/>
          <w:lang w:eastAsia="zh-CN"/>
        </w:rPr>
        <w:t>比选</w:t>
      </w:r>
      <w:r>
        <w:rPr>
          <w:rFonts w:ascii="宋体" w:hAnsi="宋体" w:eastAsia="宋体" w:cs="宋体"/>
          <w:color w:val="auto"/>
          <w:spacing w:val="7"/>
          <w:sz w:val="20"/>
          <w:szCs w:val="20"/>
          <w:highlight w:val="none"/>
        </w:rPr>
        <w:t>报价，使</w:t>
      </w:r>
      <w:r>
        <w:rPr>
          <w:rFonts w:ascii="宋体" w:hAnsi="宋体" w:eastAsia="宋体" w:cs="宋体"/>
          <w:color w:val="auto"/>
          <w:spacing w:val="6"/>
          <w:sz w:val="20"/>
          <w:szCs w:val="20"/>
          <w:highlight w:val="none"/>
        </w:rPr>
        <w:t>得其</w:t>
      </w:r>
      <w:r>
        <w:rPr>
          <w:rFonts w:hint="eastAsia" w:ascii="宋体" w:hAnsi="宋体" w:eastAsia="宋体" w:cs="宋体"/>
          <w:color w:val="auto"/>
          <w:spacing w:val="6"/>
          <w:sz w:val="20"/>
          <w:szCs w:val="20"/>
          <w:highlight w:val="none"/>
          <w:lang w:eastAsia="zh-CN"/>
        </w:rPr>
        <w:t>比选</w:t>
      </w:r>
      <w:r>
        <w:rPr>
          <w:rFonts w:ascii="宋体" w:hAnsi="宋体" w:eastAsia="宋体" w:cs="宋体"/>
          <w:color w:val="auto"/>
          <w:spacing w:val="6"/>
          <w:sz w:val="20"/>
          <w:szCs w:val="20"/>
          <w:highlight w:val="none"/>
        </w:rPr>
        <w:t>报价可能低于其个别成本</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的，应要求该</w:t>
      </w:r>
      <w:r>
        <w:rPr>
          <w:rFonts w:hint="eastAsia" w:ascii="宋体" w:hAnsi="宋体" w:eastAsia="宋体" w:cs="宋体"/>
          <w:color w:val="auto"/>
          <w:spacing w:val="11"/>
          <w:sz w:val="20"/>
          <w:szCs w:val="20"/>
          <w:highlight w:val="none"/>
          <w:lang w:eastAsia="zh-CN"/>
        </w:rPr>
        <w:t>比选人</w:t>
      </w:r>
      <w:r>
        <w:rPr>
          <w:rFonts w:ascii="宋体" w:hAnsi="宋体" w:eastAsia="宋体" w:cs="宋体"/>
          <w:color w:val="auto"/>
          <w:spacing w:val="11"/>
          <w:sz w:val="20"/>
          <w:szCs w:val="20"/>
          <w:highlight w:val="none"/>
        </w:rPr>
        <w:t>作出书面说明并提供相应的证明材料。</w:t>
      </w:r>
      <w:r>
        <w:rPr>
          <w:rFonts w:hint="eastAsia" w:ascii="宋体" w:hAnsi="宋体" w:eastAsia="宋体" w:cs="宋体"/>
          <w:color w:val="auto"/>
          <w:spacing w:val="11"/>
          <w:sz w:val="20"/>
          <w:szCs w:val="20"/>
          <w:highlight w:val="none"/>
          <w:lang w:eastAsia="zh-CN"/>
        </w:rPr>
        <w:t>比选人</w:t>
      </w:r>
      <w:r>
        <w:rPr>
          <w:rFonts w:ascii="宋体" w:hAnsi="宋体" w:eastAsia="宋体" w:cs="宋体"/>
          <w:color w:val="auto"/>
          <w:spacing w:val="11"/>
          <w:sz w:val="20"/>
          <w:szCs w:val="20"/>
          <w:highlight w:val="none"/>
        </w:rPr>
        <w:t>不能合理说明或不能提供相应证明</w:t>
      </w:r>
      <w:r>
        <w:rPr>
          <w:rFonts w:ascii="宋体" w:hAnsi="宋体" w:eastAsia="宋体" w:cs="宋体"/>
          <w:color w:val="auto"/>
          <w:spacing w:val="1"/>
          <w:sz w:val="20"/>
          <w:szCs w:val="20"/>
          <w:highlight w:val="none"/>
        </w:rPr>
        <w:t xml:space="preserve"> </w:t>
      </w:r>
      <w:r>
        <w:rPr>
          <w:rFonts w:ascii="宋体" w:hAnsi="宋体" w:eastAsia="宋体" w:cs="宋体"/>
          <w:color w:val="auto"/>
          <w:spacing w:val="9"/>
          <w:sz w:val="20"/>
          <w:szCs w:val="20"/>
          <w:highlight w:val="none"/>
        </w:rPr>
        <w:t>材料的，评标委员会应认定该</w:t>
      </w:r>
      <w:r>
        <w:rPr>
          <w:rFonts w:hint="eastAsia" w:ascii="宋体" w:hAnsi="宋体" w:eastAsia="宋体" w:cs="宋体"/>
          <w:color w:val="auto"/>
          <w:spacing w:val="9"/>
          <w:sz w:val="20"/>
          <w:szCs w:val="20"/>
          <w:highlight w:val="none"/>
          <w:lang w:eastAsia="zh-CN"/>
        </w:rPr>
        <w:t>比选人</w:t>
      </w:r>
      <w:r>
        <w:rPr>
          <w:rFonts w:ascii="宋体" w:hAnsi="宋体" w:eastAsia="宋体" w:cs="宋体"/>
          <w:color w:val="auto"/>
          <w:spacing w:val="9"/>
          <w:sz w:val="20"/>
          <w:szCs w:val="20"/>
          <w:highlight w:val="none"/>
        </w:rPr>
        <w:t>以低于成本报价竞标，并否决其</w:t>
      </w:r>
      <w:r>
        <w:rPr>
          <w:rFonts w:hint="eastAsia" w:ascii="宋体" w:hAnsi="宋体" w:eastAsia="宋体" w:cs="宋体"/>
          <w:color w:val="auto"/>
          <w:spacing w:val="9"/>
          <w:sz w:val="20"/>
          <w:szCs w:val="20"/>
          <w:highlight w:val="none"/>
          <w:lang w:eastAsia="zh-CN"/>
        </w:rPr>
        <w:t>比选</w:t>
      </w:r>
      <w:r>
        <w:rPr>
          <w:rFonts w:ascii="宋体" w:hAnsi="宋体" w:eastAsia="宋体" w:cs="宋体"/>
          <w:color w:val="auto"/>
          <w:spacing w:val="9"/>
          <w:sz w:val="20"/>
          <w:szCs w:val="20"/>
          <w:highlight w:val="none"/>
        </w:rPr>
        <w:t>。</w:t>
      </w:r>
    </w:p>
    <w:p w14:paraId="2A4BD1C2">
      <w:pPr>
        <w:pStyle w:val="12"/>
        <w:kinsoku w:val="0"/>
        <w:overflowPunct w:val="0"/>
        <w:spacing w:before="0" w:line="360" w:lineRule="auto"/>
        <w:ind w:left="0"/>
        <w:rPr>
          <w:rFonts w:hint="default" w:cs="宋体"/>
          <w:b/>
          <w:color w:val="auto"/>
          <w:sz w:val="24"/>
          <w:szCs w:val="22"/>
          <w:highlight w:val="none"/>
        </w:rPr>
      </w:pPr>
      <w:r>
        <w:rPr>
          <w:rFonts w:cs="宋体"/>
          <w:b/>
          <w:color w:val="auto"/>
          <w:sz w:val="24"/>
          <w:szCs w:val="22"/>
          <w:highlight w:val="none"/>
        </w:rPr>
        <w:t>3.3 比选文件的澄清</w:t>
      </w:r>
    </w:p>
    <w:p w14:paraId="1FAAA2EF">
      <w:pPr>
        <w:pStyle w:val="12"/>
        <w:kinsoku w:val="0"/>
        <w:overflowPunct w:val="0"/>
        <w:spacing w:line="360" w:lineRule="auto"/>
        <w:ind w:left="0" w:right="84" w:firstLine="420" w:firstLineChars="200"/>
        <w:rPr>
          <w:rFonts w:hint="default" w:cs="宋体"/>
          <w:color w:val="auto"/>
          <w:szCs w:val="22"/>
          <w:highlight w:val="none"/>
        </w:rPr>
      </w:pPr>
      <w:r>
        <w:rPr>
          <w:rFonts w:cs="宋体"/>
          <w:color w:val="auto"/>
          <w:szCs w:val="22"/>
          <w:highlight w:val="none"/>
        </w:rPr>
        <w:t>3.3.1 在招选过程中，招选委员会可以书面形式要求比选人对比选文件中含义不明确、对同类问题表述不一致或者有明显文字和计算错误的内容作必要的澄清、说明或补正。澄清、说明或补正应以书面方式进行。招选委员会不接受比选人主动提出的澄清、说明或补正。</w:t>
      </w:r>
    </w:p>
    <w:p w14:paraId="58AC3779">
      <w:pPr>
        <w:pStyle w:val="12"/>
        <w:kinsoku w:val="0"/>
        <w:overflowPunct w:val="0"/>
        <w:spacing w:line="360" w:lineRule="auto"/>
        <w:ind w:left="0" w:right="84" w:firstLine="420" w:firstLineChars="200"/>
        <w:rPr>
          <w:rFonts w:hint="default" w:cs="宋体"/>
          <w:color w:val="auto"/>
          <w:szCs w:val="22"/>
          <w:highlight w:val="none"/>
        </w:rPr>
      </w:pPr>
      <w:r>
        <w:rPr>
          <w:rFonts w:cs="宋体"/>
          <w:color w:val="auto"/>
          <w:szCs w:val="22"/>
          <w:highlight w:val="none"/>
        </w:rPr>
        <w:t>3.3.2 澄清、说明或补正不得超出招选文件的范围且不得改变招选文件的实质性内容，并构成比选文件的组成部分。</w:t>
      </w:r>
    </w:p>
    <w:p w14:paraId="6BB8D9CD">
      <w:pPr>
        <w:pStyle w:val="12"/>
        <w:kinsoku w:val="0"/>
        <w:overflowPunct w:val="0"/>
        <w:spacing w:line="360" w:lineRule="auto"/>
        <w:ind w:left="0" w:right="84" w:firstLine="420" w:firstLineChars="200"/>
        <w:rPr>
          <w:rFonts w:hint="default" w:cs="宋体"/>
          <w:color w:val="auto"/>
          <w:szCs w:val="22"/>
          <w:highlight w:val="none"/>
        </w:rPr>
      </w:pPr>
      <w:r>
        <w:rPr>
          <w:rFonts w:cs="宋体"/>
          <w:color w:val="auto"/>
          <w:szCs w:val="22"/>
          <w:highlight w:val="none"/>
        </w:rPr>
        <w:t>3.3.3 招选委员会对比选人提交的澄清、说明或补正有疑问的，可以要求比选人进一步澄清、说明或补正，直至满足招选委员会的要求。</w:t>
      </w:r>
    </w:p>
    <w:p w14:paraId="7DD0D814">
      <w:pPr>
        <w:pStyle w:val="12"/>
        <w:kinsoku w:val="0"/>
        <w:overflowPunct w:val="0"/>
        <w:spacing w:before="0" w:line="360" w:lineRule="auto"/>
        <w:ind w:left="0"/>
        <w:rPr>
          <w:rFonts w:hint="default" w:cs="宋体"/>
          <w:color w:val="auto"/>
          <w:highlight w:val="none"/>
        </w:rPr>
      </w:pPr>
      <w:r>
        <w:rPr>
          <w:rFonts w:cs="宋体"/>
          <w:b/>
          <w:color w:val="auto"/>
          <w:sz w:val="24"/>
          <w:szCs w:val="22"/>
          <w:highlight w:val="none"/>
        </w:rPr>
        <w:t>3.4 招选结果</w:t>
      </w:r>
    </w:p>
    <w:p w14:paraId="02304FD4">
      <w:pPr>
        <w:pStyle w:val="12"/>
        <w:kinsoku w:val="0"/>
        <w:overflowPunct w:val="0"/>
        <w:spacing w:line="360" w:lineRule="auto"/>
        <w:ind w:left="0" w:right="84" w:firstLine="420" w:firstLineChars="200"/>
        <w:rPr>
          <w:rFonts w:hint="default" w:cs="宋体"/>
          <w:color w:val="auto"/>
          <w:szCs w:val="22"/>
          <w:highlight w:val="none"/>
        </w:rPr>
      </w:pPr>
      <w:r>
        <w:rPr>
          <w:rFonts w:cs="宋体"/>
          <w:color w:val="auto"/>
          <w:szCs w:val="22"/>
          <w:highlight w:val="none"/>
        </w:rPr>
        <w:t>3.4.1 除第二章“比选人须知”前附表授权直接确定中选人外，招选委员会按照得分由高到低的顺序推荐中选候选人，并标明排序。</w:t>
      </w:r>
    </w:p>
    <w:p w14:paraId="67D6A4E1">
      <w:pPr>
        <w:pStyle w:val="12"/>
        <w:kinsoku w:val="0"/>
        <w:overflowPunct w:val="0"/>
        <w:spacing w:line="360" w:lineRule="auto"/>
        <w:ind w:left="0" w:right="84" w:firstLine="420" w:firstLineChars="200"/>
        <w:rPr>
          <w:rFonts w:hint="default" w:cs="宋体"/>
          <w:color w:val="auto"/>
          <w:szCs w:val="22"/>
          <w:highlight w:val="none"/>
        </w:rPr>
        <w:sectPr>
          <w:headerReference r:id="rId14" w:type="default"/>
          <w:footerReference r:id="rId15" w:type="default"/>
          <w:pgSz w:w="11900" w:h="16840"/>
          <w:pgMar w:top="1440" w:right="1080" w:bottom="1440" w:left="1080" w:header="881" w:footer="912" w:gutter="0"/>
          <w:cols w:space="720" w:num="1"/>
        </w:sectPr>
      </w:pPr>
      <w:r>
        <w:rPr>
          <w:rFonts w:cs="宋体"/>
          <w:color w:val="auto"/>
          <w:szCs w:val="22"/>
          <w:highlight w:val="none"/>
        </w:rPr>
        <w:t>3.4.2 招选委员会完成招选后，应当向招选人提交书面招选报告和中选候选人名单。</w:t>
      </w:r>
    </w:p>
    <w:p w14:paraId="1D1582F6">
      <w:pPr>
        <w:spacing w:line="360" w:lineRule="auto"/>
        <w:rPr>
          <w:rFonts w:ascii="宋体" w:hAnsi="宋体" w:cs="宋体"/>
          <w:color w:val="auto"/>
          <w:highlight w:val="none"/>
        </w:rPr>
      </w:pPr>
      <w:bookmarkStart w:id="26" w:name="_Toc3914"/>
    </w:p>
    <w:p w14:paraId="147EF729">
      <w:pPr>
        <w:spacing w:line="360" w:lineRule="auto"/>
        <w:rPr>
          <w:rFonts w:ascii="宋体" w:hAnsi="宋体" w:cs="宋体"/>
          <w:color w:val="auto"/>
          <w:highlight w:val="none"/>
        </w:rPr>
      </w:pPr>
    </w:p>
    <w:p w14:paraId="2CA9C2FE">
      <w:pPr>
        <w:spacing w:line="360" w:lineRule="auto"/>
        <w:rPr>
          <w:rFonts w:ascii="宋体" w:hAnsi="宋体" w:cs="宋体"/>
          <w:color w:val="auto"/>
          <w:highlight w:val="none"/>
        </w:rPr>
      </w:pPr>
    </w:p>
    <w:p w14:paraId="3708BB13">
      <w:pPr>
        <w:spacing w:line="360" w:lineRule="auto"/>
        <w:rPr>
          <w:rFonts w:ascii="宋体" w:hAnsi="宋体" w:cs="宋体"/>
          <w:color w:val="auto"/>
          <w:highlight w:val="none"/>
        </w:rPr>
      </w:pPr>
    </w:p>
    <w:p w14:paraId="77A8A26B">
      <w:pPr>
        <w:spacing w:line="360" w:lineRule="auto"/>
        <w:rPr>
          <w:rFonts w:ascii="宋体" w:hAnsi="宋体" w:cs="宋体"/>
          <w:color w:val="auto"/>
          <w:highlight w:val="none"/>
        </w:rPr>
      </w:pPr>
    </w:p>
    <w:p w14:paraId="6BAF9AC0">
      <w:pPr>
        <w:spacing w:line="360" w:lineRule="auto"/>
        <w:rPr>
          <w:rFonts w:ascii="宋体" w:hAnsi="宋体" w:cs="宋体"/>
          <w:color w:val="auto"/>
          <w:highlight w:val="none"/>
        </w:rPr>
      </w:pPr>
    </w:p>
    <w:p w14:paraId="4EFD1D54">
      <w:pPr>
        <w:spacing w:line="360" w:lineRule="auto"/>
        <w:rPr>
          <w:rFonts w:ascii="宋体" w:hAnsi="宋体" w:cs="宋体"/>
          <w:color w:val="auto"/>
          <w:highlight w:val="none"/>
        </w:rPr>
      </w:pPr>
    </w:p>
    <w:p w14:paraId="42CBDB72">
      <w:pPr>
        <w:spacing w:line="360" w:lineRule="auto"/>
        <w:rPr>
          <w:rFonts w:ascii="宋体" w:hAnsi="宋体" w:cs="宋体"/>
          <w:color w:val="auto"/>
          <w:highlight w:val="none"/>
        </w:rPr>
      </w:pPr>
    </w:p>
    <w:p w14:paraId="7F172515">
      <w:pPr>
        <w:spacing w:line="360" w:lineRule="auto"/>
        <w:rPr>
          <w:rFonts w:ascii="宋体" w:hAnsi="宋体" w:cs="宋体"/>
          <w:color w:val="auto"/>
          <w:highlight w:val="none"/>
        </w:rPr>
      </w:pPr>
    </w:p>
    <w:p w14:paraId="4ABEEE7C">
      <w:pPr>
        <w:spacing w:line="360" w:lineRule="auto"/>
        <w:rPr>
          <w:rFonts w:ascii="宋体" w:hAnsi="宋体" w:cs="宋体"/>
          <w:color w:val="auto"/>
          <w:highlight w:val="none"/>
        </w:rPr>
      </w:pPr>
    </w:p>
    <w:p w14:paraId="0C337173">
      <w:pPr>
        <w:spacing w:line="360" w:lineRule="auto"/>
        <w:rPr>
          <w:rFonts w:ascii="宋体" w:hAnsi="宋体" w:cs="宋体"/>
          <w:color w:val="auto"/>
          <w:highlight w:val="none"/>
        </w:rPr>
      </w:pPr>
    </w:p>
    <w:p w14:paraId="1C7DF0CD">
      <w:pPr>
        <w:spacing w:line="360" w:lineRule="auto"/>
        <w:rPr>
          <w:rFonts w:ascii="宋体" w:hAnsi="宋体" w:cs="宋体"/>
          <w:color w:val="auto"/>
          <w:highlight w:val="none"/>
        </w:rPr>
      </w:pPr>
    </w:p>
    <w:p w14:paraId="3BDC56DB">
      <w:pPr>
        <w:spacing w:line="360" w:lineRule="auto"/>
        <w:rPr>
          <w:rFonts w:ascii="宋体" w:hAnsi="宋体" w:cs="宋体"/>
          <w:color w:val="auto"/>
          <w:highlight w:val="none"/>
        </w:rPr>
      </w:pPr>
    </w:p>
    <w:p w14:paraId="24C5C181">
      <w:pPr>
        <w:spacing w:line="360" w:lineRule="auto"/>
        <w:rPr>
          <w:rFonts w:ascii="宋体" w:hAnsi="宋体" w:cs="宋体"/>
          <w:color w:val="auto"/>
          <w:highlight w:val="none"/>
        </w:rPr>
      </w:pPr>
    </w:p>
    <w:bookmarkEnd w:id="26"/>
    <w:p w14:paraId="7687EF99">
      <w:pPr>
        <w:spacing w:before="140" w:line="222" w:lineRule="auto"/>
        <w:ind w:firstLine="2220" w:firstLineChars="500"/>
        <w:outlineLvl w:val="0"/>
        <w:rPr>
          <w:rFonts w:ascii="宋体" w:hAnsi="宋体" w:cs="宋体"/>
          <w:color w:val="auto"/>
          <w:spacing w:val="7"/>
          <w:sz w:val="43"/>
          <w:szCs w:val="43"/>
          <w:highlight w:val="none"/>
        </w:rPr>
      </w:pPr>
      <w:bookmarkStart w:id="27" w:name="_Toc30493"/>
      <w:bookmarkStart w:id="28" w:name="_Toc5269"/>
      <w:r>
        <w:rPr>
          <w:rFonts w:hint="eastAsia" w:ascii="宋体" w:hAnsi="宋体" w:cs="宋体"/>
          <w:color w:val="auto"/>
          <w:spacing w:val="7"/>
          <w:sz w:val="43"/>
          <w:szCs w:val="43"/>
          <w:highlight w:val="none"/>
        </w:rPr>
        <w:t>第四章 合同附件格式</w:t>
      </w:r>
      <w:bookmarkEnd w:id="27"/>
      <w:bookmarkEnd w:id="28"/>
    </w:p>
    <w:p w14:paraId="3A1C46A6">
      <w:pPr>
        <w:pStyle w:val="20"/>
        <w:ind w:firstLine="560"/>
        <w:rPr>
          <w:rFonts w:ascii="宋体" w:hAnsi="宋体" w:eastAsia="宋体" w:cs="宋体"/>
          <w:color w:val="auto"/>
          <w:sz w:val="28"/>
          <w:szCs w:val="28"/>
          <w:highlight w:val="none"/>
        </w:rPr>
      </w:pPr>
    </w:p>
    <w:p w14:paraId="4405285D">
      <w:pPr>
        <w:pStyle w:val="20"/>
        <w:ind w:firstLine="560"/>
        <w:rPr>
          <w:rFonts w:ascii="宋体" w:hAnsi="宋体" w:eastAsia="宋体" w:cs="宋体"/>
          <w:color w:val="auto"/>
          <w:sz w:val="28"/>
          <w:szCs w:val="28"/>
          <w:highlight w:val="none"/>
        </w:rPr>
      </w:pPr>
    </w:p>
    <w:p w14:paraId="1A244C71">
      <w:pPr>
        <w:pStyle w:val="20"/>
        <w:ind w:firstLine="560"/>
        <w:rPr>
          <w:rFonts w:ascii="宋体" w:hAnsi="宋体" w:eastAsia="宋体" w:cs="宋体"/>
          <w:color w:val="auto"/>
          <w:sz w:val="28"/>
          <w:szCs w:val="28"/>
          <w:highlight w:val="none"/>
        </w:rPr>
      </w:pPr>
    </w:p>
    <w:p w14:paraId="00DBEEAA">
      <w:pPr>
        <w:pStyle w:val="20"/>
        <w:ind w:firstLine="560"/>
        <w:rPr>
          <w:rFonts w:ascii="宋体" w:hAnsi="宋体" w:eastAsia="宋体" w:cs="宋体"/>
          <w:color w:val="auto"/>
          <w:sz w:val="28"/>
          <w:szCs w:val="28"/>
          <w:highlight w:val="none"/>
        </w:rPr>
      </w:pPr>
    </w:p>
    <w:p w14:paraId="6446ADD0">
      <w:pPr>
        <w:pStyle w:val="20"/>
        <w:ind w:firstLine="560"/>
        <w:rPr>
          <w:rFonts w:ascii="宋体" w:hAnsi="宋体" w:eastAsia="宋体" w:cs="宋体"/>
          <w:color w:val="auto"/>
          <w:sz w:val="28"/>
          <w:szCs w:val="28"/>
          <w:highlight w:val="none"/>
        </w:rPr>
      </w:pPr>
    </w:p>
    <w:p w14:paraId="5BB978A4">
      <w:pPr>
        <w:pStyle w:val="20"/>
        <w:ind w:firstLine="560"/>
        <w:rPr>
          <w:rFonts w:ascii="宋体" w:hAnsi="宋体" w:eastAsia="宋体" w:cs="宋体"/>
          <w:color w:val="auto"/>
          <w:sz w:val="28"/>
          <w:szCs w:val="28"/>
          <w:highlight w:val="none"/>
        </w:rPr>
      </w:pPr>
    </w:p>
    <w:p w14:paraId="32421557">
      <w:pPr>
        <w:pStyle w:val="20"/>
        <w:ind w:firstLine="560"/>
        <w:rPr>
          <w:rFonts w:ascii="宋体" w:hAnsi="宋体" w:eastAsia="宋体" w:cs="宋体"/>
          <w:color w:val="auto"/>
          <w:sz w:val="28"/>
          <w:szCs w:val="28"/>
          <w:highlight w:val="none"/>
        </w:rPr>
      </w:pPr>
    </w:p>
    <w:p w14:paraId="1CD1AF54">
      <w:pPr>
        <w:pStyle w:val="20"/>
        <w:ind w:firstLine="560"/>
        <w:rPr>
          <w:rFonts w:ascii="宋体" w:hAnsi="宋体" w:eastAsia="宋体" w:cs="宋体"/>
          <w:color w:val="auto"/>
          <w:sz w:val="28"/>
          <w:szCs w:val="28"/>
          <w:highlight w:val="none"/>
        </w:rPr>
      </w:pPr>
    </w:p>
    <w:p w14:paraId="1D5AD5E5">
      <w:pPr>
        <w:pStyle w:val="20"/>
        <w:ind w:firstLine="560"/>
        <w:rPr>
          <w:rFonts w:ascii="宋体" w:hAnsi="宋体" w:eastAsia="宋体" w:cs="宋体"/>
          <w:color w:val="auto"/>
          <w:sz w:val="28"/>
          <w:szCs w:val="28"/>
          <w:highlight w:val="none"/>
        </w:rPr>
      </w:pPr>
    </w:p>
    <w:p w14:paraId="36799EF5">
      <w:pPr>
        <w:pStyle w:val="20"/>
        <w:ind w:firstLine="560"/>
        <w:rPr>
          <w:rFonts w:ascii="宋体" w:hAnsi="宋体" w:eastAsia="宋体" w:cs="宋体"/>
          <w:color w:val="auto"/>
          <w:sz w:val="28"/>
          <w:szCs w:val="28"/>
          <w:highlight w:val="none"/>
        </w:rPr>
      </w:pPr>
    </w:p>
    <w:p w14:paraId="2D2686FF">
      <w:pPr>
        <w:widowControl/>
        <w:spacing w:afterLines="50"/>
        <w:jc w:val="both"/>
        <w:rPr>
          <w:rFonts w:ascii="宋体"/>
          <w:b/>
          <w:bCs/>
          <w:color w:val="auto"/>
          <w:sz w:val="36"/>
          <w:szCs w:val="36"/>
          <w:highlight w:val="none"/>
        </w:rPr>
      </w:pPr>
    </w:p>
    <w:p w14:paraId="23331016">
      <w:pPr>
        <w:widowControl/>
        <w:spacing w:afterLines="50"/>
        <w:jc w:val="center"/>
        <w:rPr>
          <w:rFonts w:ascii="宋体"/>
          <w:b/>
          <w:bCs/>
          <w:color w:val="auto"/>
          <w:sz w:val="36"/>
          <w:szCs w:val="36"/>
        </w:rPr>
      </w:pPr>
      <w:bookmarkStart w:id="29" w:name="_Toc8726"/>
      <w:r>
        <w:rPr>
          <w:rFonts w:hint="eastAsia" w:ascii="宋体"/>
          <w:b/>
          <w:bCs/>
          <w:color w:val="auto"/>
          <w:sz w:val="36"/>
          <w:szCs w:val="36"/>
        </w:rPr>
        <w:t>测绘地理信息服务合同</w:t>
      </w:r>
    </w:p>
    <w:p w14:paraId="19148DB8">
      <w:pPr>
        <w:widowControl/>
        <w:spacing w:afterLines="50"/>
        <w:rPr>
          <w:rFonts w:ascii="宋体"/>
          <w:color w:val="auto"/>
          <w:szCs w:val="21"/>
        </w:rPr>
      </w:pPr>
      <w:r>
        <w:rPr>
          <w:rFonts w:hint="eastAsia" w:ascii="宋体"/>
          <w:color w:val="auto"/>
          <w:szCs w:val="24"/>
        </w:rPr>
        <w:t xml:space="preserve">                                           </w:t>
      </w:r>
      <w:r>
        <w:rPr>
          <w:rFonts w:hint="eastAsia" w:ascii="宋体"/>
          <w:color w:val="auto"/>
          <w:szCs w:val="21"/>
        </w:rPr>
        <w:t xml:space="preserve"> </w:t>
      </w:r>
    </w:p>
    <w:p w14:paraId="2E4343C5">
      <w:pPr>
        <w:widowControl/>
        <w:tabs>
          <w:tab w:val="left" w:pos="5190"/>
        </w:tabs>
        <w:spacing w:line="360" w:lineRule="auto"/>
        <w:rPr>
          <w:rFonts w:ascii="宋体"/>
          <w:color w:val="auto"/>
          <w:szCs w:val="24"/>
        </w:rPr>
      </w:pPr>
    </w:p>
    <w:p w14:paraId="29FA65E5">
      <w:pPr>
        <w:widowControl/>
        <w:tabs>
          <w:tab w:val="left" w:pos="5190"/>
        </w:tabs>
        <w:spacing w:line="360" w:lineRule="auto"/>
        <w:rPr>
          <w:rFonts w:ascii="宋体"/>
          <w:b/>
          <w:bCs/>
          <w:color w:val="auto"/>
          <w:szCs w:val="24"/>
        </w:rPr>
      </w:pPr>
      <w:r>
        <w:rPr>
          <w:rFonts w:hint="eastAsia" w:ascii="宋体"/>
          <w:b/>
          <w:bCs/>
          <w:color w:val="auto"/>
          <w:szCs w:val="24"/>
        </w:rPr>
        <w:t>发包人（甲方）：四川宜叙高速公路开发有限责任公司</w:t>
      </w:r>
    </w:p>
    <w:p w14:paraId="4EDE44B2">
      <w:pPr>
        <w:widowControl/>
        <w:spacing w:line="360" w:lineRule="auto"/>
        <w:rPr>
          <w:rFonts w:ascii="宋体"/>
          <w:color w:val="auto"/>
          <w:szCs w:val="24"/>
        </w:rPr>
      </w:pPr>
      <w:r>
        <w:rPr>
          <w:rFonts w:hint="eastAsia" w:ascii="宋体"/>
          <w:b/>
          <w:bCs/>
          <w:color w:val="auto"/>
          <w:szCs w:val="24"/>
        </w:rPr>
        <w:t>承包人（乙方）：</w:t>
      </w:r>
      <w:r>
        <w:rPr>
          <w:rFonts w:hint="eastAsia" w:ascii="宋体"/>
          <w:b/>
          <w:bCs/>
          <w:color w:val="auto"/>
          <w:szCs w:val="24"/>
          <w:u w:val="single"/>
        </w:rPr>
        <w:t xml:space="preserve">                                </w:t>
      </w:r>
      <w:r>
        <w:rPr>
          <w:rFonts w:hint="eastAsia" w:ascii="宋体"/>
          <w:b/>
          <w:bCs/>
          <w:color w:val="auto"/>
          <w:szCs w:val="24"/>
        </w:rPr>
        <w:t xml:space="preserve">    </w:t>
      </w:r>
      <w:r>
        <w:rPr>
          <w:rFonts w:hint="eastAsia" w:ascii="宋体"/>
          <w:color w:val="auto"/>
          <w:szCs w:val="24"/>
        </w:rPr>
        <w:t xml:space="preserve">     </w:t>
      </w:r>
    </w:p>
    <w:p w14:paraId="213D6BD4">
      <w:pPr>
        <w:widowControl/>
        <w:spacing w:line="360" w:lineRule="auto"/>
        <w:ind w:firstLine="480" w:firstLineChars="200"/>
        <w:rPr>
          <w:rFonts w:ascii="宋体"/>
          <w:color w:val="auto"/>
          <w:szCs w:val="24"/>
        </w:rPr>
      </w:pPr>
    </w:p>
    <w:p w14:paraId="781E8193">
      <w:pPr>
        <w:widowControl/>
        <w:spacing w:line="360" w:lineRule="auto"/>
        <w:ind w:firstLine="480" w:firstLineChars="200"/>
        <w:rPr>
          <w:rFonts w:ascii="宋体"/>
          <w:color w:val="auto"/>
          <w:szCs w:val="24"/>
        </w:rPr>
      </w:pPr>
      <w:r>
        <w:rPr>
          <w:rFonts w:hint="eastAsia" w:ascii="宋体"/>
          <w:color w:val="auto"/>
          <w:szCs w:val="24"/>
        </w:rPr>
        <w:t>承包人测绘资质等级和业务范围</w:t>
      </w:r>
    </w:p>
    <w:p w14:paraId="35E43218">
      <w:pPr>
        <w:spacing w:after="156" w:line="360" w:lineRule="auto"/>
        <w:rPr>
          <w:rStyle w:val="44"/>
          <w:rFonts w:ascii="宋体" w:cs="宋体"/>
          <w:color w:val="auto"/>
          <w:szCs w:val="24"/>
        </w:rPr>
      </w:pPr>
      <w:r>
        <w:rPr>
          <w:rStyle w:val="44"/>
          <w:rFonts w:hint="eastAsia" w:ascii="宋体" w:cs="宋体"/>
          <w:color w:val="auto"/>
          <w:szCs w:val="24"/>
        </w:rPr>
        <w:t xml:space="preserve">    资质等级：</w:t>
      </w:r>
      <w:r>
        <w:rPr>
          <w:rStyle w:val="44"/>
          <w:rFonts w:hint="eastAsia" w:ascii="宋体" w:cs="宋体"/>
          <w:color w:val="auto"/>
          <w:szCs w:val="24"/>
          <w:u w:val="single"/>
        </w:rPr>
        <w:t xml:space="preserve">                  </w:t>
      </w:r>
    </w:p>
    <w:p w14:paraId="155F4455">
      <w:pPr>
        <w:spacing w:after="156" w:line="360" w:lineRule="auto"/>
        <w:rPr>
          <w:rStyle w:val="44"/>
          <w:rFonts w:ascii="宋体" w:cs="宋体"/>
          <w:color w:val="auto"/>
          <w:szCs w:val="24"/>
        </w:rPr>
      </w:pPr>
      <w:r>
        <w:rPr>
          <w:rStyle w:val="44"/>
          <w:rFonts w:hint="eastAsia" w:ascii="宋体" w:cs="宋体"/>
          <w:color w:val="auto"/>
          <w:szCs w:val="24"/>
        </w:rPr>
        <w:t xml:space="preserve">    业务范围：</w:t>
      </w:r>
      <w:r>
        <w:rPr>
          <w:rStyle w:val="44"/>
          <w:rFonts w:hint="eastAsia" w:ascii="宋体" w:cs="宋体"/>
          <w:color w:val="auto"/>
          <w:szCs w:val="24"/>
          <w:u w:val="single"/>
        </w:rPr>
        <w:t xml:space="preserve">                                                             </w:t>
      </w:r>
      <w:r>
        <w:rPr>
          <w:rStyle w:val="44"/>
          <w:rFonts w:hint="eastAsia" w:ascii="宋体" w:cs="宋体"/>
          <w:color w:val="auto"/>
          <w:szCs w:val="24"/>
        </w:rPr>
        <w:t xml:space="preserve">。                                    </w:t>
      </w:r>
    </w:p>
    <w:p w14:paraId="30358C0F">
      <w:pPr>
        <w:spacing w:after="156" w:line="360" w:lineRule="auto"/>
        <w:rPr>
          <w:rStyle w:val="44"/>
          <w:rFonts w:ascii="宋体" w:cs="宋体"/>
          <w:color w:val="auto"/>
          <w:szCs w:val="24"/>
        </w:rPr>
      </w:pPr>
      <w:r>
        <w:rPr>
          <w:rStyle w:val="44"/>
          <w:rFonts w:hint="eastAsia" w:ascii="宋体" w:cs="宋体"/>
          <w:color w:val="auto"/>
          <w:szCs w:val="24"/>
        </w:rPr>
        <w:t xml:space="preserve">    </w:t>
      </w:r>
    </w:p>
    <w:p w14:paraId="0D1DF2A6">
      <w:pPr>
        <w:spacing w:after="156" w:line="360" w:lineRule="auto"/>
        <w:ind w:firstLine="480" w:firstLineChars="200"/>
        <w:rPr>
          <w:rStyle w:val="44"/>
          <w:rFonts w:ascii="宋体" w:cs="宋体"/>
          <w:color w:val="auto"/>
          <w:szCs w:val="24"/>
        </w:rPr>
      </w:pPr>
      <w:r>
        <w:rPr>
          <w:rStyle w:val="44"/>
          <w:rFonts w:hint="eastAsia" w:ascii="宋体" w:cs="宋体"/>
          <w:color w:val="auto"/>
          <w:szCs w:val="24"/>
        </w:rPr>
        <w:t>依据《中华人民共和国民法典》《中华人民共和国测绘法》《四川省合同监督条例》《四川省测绘地理信息市场管理办法》等有关法律法规，结合本项目情况，经甲、乙双方协商一致，签订本合同。</w:t>
      </w:r>
    </w:p>
    <w:p w14:paraId="65468975">
      <w:pPr>
        <w:widowControl/>
        <w:spacing w:line="360" w:lineRule="auto"/>
        <w:ind w:firstLine="482" w:firstLineChars="200"/>
        <w:rPr>
          <w:rFonts w:ascii="宋体"/>
          <w:b/>
          <w:color w:val="auto"/>
          <w:szCs w:val="24"/>
        </w:rPr>
      </w:pPr>
      <w:r>
        <w:rPr>
          <w:rFonts w:hint="eastAsia" w:ascii="宋体"/>
          <w:b/>
          <w:color w:val="auto"/>
          <w:szCs w:val="24"/>
        </w:rPr>
        <w:t>第一条  项目概况</w:t>
      </w:r>
    </w:p>
    <w:p w14:paraId="76417F4C">
      <w:pPr>
        <w:spacing w:afterLines="50" w:line="400" w:lineRule="exact"/>
        <w:ind w:firstLine="360" w:firstLineChars="150"/>
        <w:rPr>
          <w:rFonts w:ascii="宋体" w:cs="宋体"/>
          <w:b/>
          <w:color w:val="auto"/>
          <w:szCs w:val="24"/>
        </w:rPr>
      </w:pPr>
      <w:r>
        <w:rPr>
          <w:rFonts w:hint="eastAsia" w:ascii="宋体" w:cs="宋体"/>
          <w:color w:val="auto"/>
          <w:szCs w:val="24"/>
        </w:rPr>
        <w:t xml:space="preserve"> 项目名称：</w:t>
      </w:r>
      <w:r>
        <w:rPr>
          <w:rFonts w:hint="eastAsia" w:ascii="宋体" w:cs="宋体"/>
          <w:b w:val="0"/>
          <w:bCs w:val="0"/>
          <w:color w:val="auto"/>
          <w:szCs w:val="24"/>
        </w:rPr>
        <w:t>四川宜叙高速公路开发有限责任</w:t>
      </w:r>
      <w:r>
        <w:rPr>
          <w:rFonts w:hint="eastAsia" w:ascii="宋体" w:cs="宋体"/>
          <w:color w:val="auto"/>
          <w:szCs w:val="24"/>
        </w:rPr>
        <w:t>公司（长宁</w:t>
      </w:r>
      <w:r>
        <w:rPr>
          <w:rFonts w:hint="eastAsia" w:ascii="宋体" w:cs="宋体"/>
          <w:color w:val="auto"/>
          <w:szCs w:val="24"/>
          <w:lang w:val="en-US" w:eastAsia="zh-CN"/>
        </w:rPr>
        <w:t>段</w:t>
      </w:r>
      <w:r>
        <w:rPr>
          <w:rFonts w:hint="eastAsia" w:ascii="宋体" w:cs="宋体"/>
          <w:color w:val="auto"/>
          <w:szCs w:val="24"/>
        </w:rPr>
        <w:t>）土地测绘和地籍调查项目。</w:t>
      </w:r>
    </w:p>
    <w:p w14:paraId="449F4067">
      <w:pPr>
        <w:spacing w:afterLines="50" w:line="400" w:lineRule="exact"/>
        <w:rPr>
          <w:rFonts w:ascii="宋体" w:cs="宋体"/>
          <w:color w:val="auto"/>
          <w:szCs w:val="24"/>
        </w:rPr>
      </w:pPr>
      <w:r>
        <w:rPr>
          <w:rFonts w:hint="eastAsia" w:ascii="宋体" w:cs="宋体"/>
          <w:color w:val="auto"/>
          <w:szCs w:val="24"/>
        </w:rPr>
        <w:t xml:space="preserve">    项目区域：长宁县长宁镇。</w:t>
      </w:r>
    </w:p>
    <w:p w14:paraId="7DEBBEC1">
      <w:pPr>
        <w:spacing w:line="560" w:lineRule="exact"/>
        <w:ind w:firstLine="480" w:firstLineChars="200"/>
        <w:jc w:val="both"/>
        <w:rPr>
          <w:rFonts w:cs="仿宋_GB2312" w:asciiTheme="minorEastAsia" w:hAnsiTheme="minorEastAsia" w:eastAsiaTheme="minorEastAsia"/>
          <w:color w:val="auto"/>
          <w:szCs w:val="24"/>
        </w:rPr>
      </w:pPr>
      <w:r>
        <w:rPr>
          <w:rFonts w:hint="eastAsia" w:ascii="宋体" w:cs="宋体"/>
          <w:color w:val="auto"/>
          <w:szCs w:val="24"/>
        </w:rPr>
        <w:t>项目内容：宜叙公司（长宁</w:t>
      </w:r>
      <w:r>
        <w:rPr>
          <w:rFonts w:hint="eastAsia" w:ascii="宋体" w:cs="宋体"/>
          <w:color w:val="auto"/>
          <w:szCs w:val="24"/>
          <w:lang w:val="en-US" w:eastAsia="zh-CN"/>
        </w:rPr>
        <w:t>段</w:t>
      </w:r>
      <w:r>
        <w:rPr>
          <w:rFonts w:hint="eastAsia" w:ascii="宋体" w:cs="宋体"/>
          <w:color w:val="auto"/>
          <w:szCs w:val="24"/>
        </w:rPr>
        <w:t>）土地测绘和地籍调查项目</w:t>
      </w:r>
      <w:r>
        <w:rPr>
          <w:rFonts w:hint="eastAsia" w:cs="仿宋_GB2312" w:asciiTheme="minorEastAsia" w:hAnsiTheme="minorEastAsia" w:eastAsiaTheme="minorEastAsia"/>
          <w:color w:val="auto"/>
          <w:szCs w:val="24"/>
        </w:rPr>
        <w:t>，工作内容包括但不仅限于：</w:t>
      </w:r>
    </w:p>
    <w:p w14:paraId="6508BE37">
      <w:pPr>
        <w:spacing w:line="560" w:lineRule="exact"/>
        <w:ind w:firstLine="480" w:firstLineChars="200"/>
        <w:jc w:val="both"/>
        <w:rPr>
          <w:rFonts w:cs="仿宋_GB2312" w:asciiTheme="minorEastAsia" w:hAnsiTheme="minorEastAsia" w:eastAsiaTheme="minorEastAsia"/>
          <w:color w:val="auto"/>
          <w:szCs w:val="24"/>
        </w:rPr>
      </w:pPr>
      <w:r>
        <w:rPr>
          <w:rFonts w:cs="仿宋_GB2312" w:asciiTheme="minorEastAsia" w:hAnsiTheme="minorEastAsia" w:eastAsiaTheme="minorEastAsia"/>
          <w:color w:val="auto"/>
          <w:szCs w:val="24"/>
        </w:rPr>
        <w:t>1</w:t>
      </w:r>
      <w:r>
        <w:rPr>
          <w:rFonts w:hint="eastAsia" w:cs="仿宋_GB2312" w:asciiTheme="minorEastAsia" w:hAnsiTheme="minorEastAsia" w:eastAsiaTheme="minorEastAsia"/>
          <w:color w:val="auto"/>
          <w:szCs w:val="24"/>
        </w:rPr>
        <w:t>、负责收集并套合本项目和相邻项目的历史征地图件及相邻国有土地、林地、集体土地、农村宅基地等确权图件；</w:t>
      </w:r>
    </w:p>
    <w:p w14:paraId="3865C591">
      <w:pPr>
        <w:spacing w:line="560" w:lineRule="exact"/>
        <w:ind w:firstLine="480" w:firstLineChars="200"/>
        <w:jc w:val="both"/>
        <w:rPr>
          <w:rFonts w:cs="仿宋_GB2312" w:asciiTheme="minorEastAsia" w:hAnsiTheme="minorEastAsia" w:eastAsiaTheme="minorEastAsia"/>
          <w:color w:val="auto"/>
          <w:szCs w:val="24"/>
        </w:rPr>
      </w:pPr>
      <w:r>
        <w:rPr>
          <w:rFonts w:cs="仿宋_GB2312" w:asciiTheme="minorEastAsia" w:hAnsiTheme="minorEastAsia" w:eastAsiaTheme="minorEastAsia"/>
          <w:color w:val="auto"/>
          <w:szCs w:val="24"/>
        </w:rPr>
        <w:t>2</w:t>
      </w:r>
      <w:r>
        <w:rPr>
          <w:rFonts w:hint="eastAsia" w:cs="仿宋_GB2312" w:asciiTheme="minorEastAsia" w:hAnsiTheme="minorEastAsia" w:eastAsiaTheme="minorEastAsia"/>
          <w:color w:val="auto"/>
          <w:szCs w:val="24"/>
        </w:rPr>
        <w:t>、负责不动产测绘，出具测绘成果；</w:t>
      </w:r>
    </w:p>
    <w:p w14:paraId="0C6AACEE">
      <w:pPr>
        <w:spacing w:line="560" w:lineRule="exact"/>
        <w:ind w:firstLine="480" w:firstLineChars="200"/>
        <w:jc w:val="both"/>
        <w:rPr>
          <w:rFonts w:cs="仿宋_GB2312" w:asciiTheme="minorEastAsia" w:hAnsiTheme="minorEastAsia" w:eastAsiaTheme="minorEastAsia"/>
          <w:color w:val="auto"/>
          <w:szCs w:val="24"/>
        </w:rPr>
      </w:pPr>
      <w:r>
        <w:rPr>
          <w:rFonts w:cs="仿宋_GB2312" w:asciiTheme="minorEastAsia" w:hAnsiTheme="minorEastAsia" w:eastAsiaTheme="minorEastAsia"/>
          <w:color w:val="auto"/>
          <w:szCs w:val="24"/>
        </w:rPr>
        <w:t>3</w:t>
      </w:r>
      <w:r>
        <w:rPr>
          <w:rFonts w:hint="eastAsia" w:cs="仿宋_GB2312" w:asciiTheme="minorEastAsia" w:hAnsiTheme="minorEastAsia" w:eastAsiaTheme="minorEastAsia"/>
          <w:color w:val="auto"/>
          <w:szCs w:val="24"/>
        </w:rPr>
        <w:t>、负责不动产录宗，按不动产中心提出的问题进行修补测；</w:t>
      </w:r>
    </w:p>
    <w:p w14:paraId="736BD9E5">
      <w:pPr>
        <w:spacing w:line="560" w:lineRule="exact"/>
        <w:ind w:firstLine="480" w:firstLineChars="200"/>
        <w:jc w:val="both"/>
        <w:rPr>
          <w:rFonts w:cs="仿宋_GB2312" w:asciiTheme="minorEastAsia" w:hAnsiTheme="minorEastAsia" w:eastAsiaTheme="minorEastAsia"/>
          <w:color w:val="auto"/>
          <w:szCs w:val="24"/>
        </w:rPr>
      </w:pPr>
      <w:r>
        <w:rPr>
          <w:rFonts w:cs="仿宋_GB2312" w:asciiTheme="minorEastAsia" w:hAnsiTheme="minorEastAsia" w:eastAsiaTheme="minorEastAsia"/>
          <w:color w:val="auto"/>
          <w:szCs w:val="24"/>
        </w:rPr>
        <w:t>4</w:t>
      </w:r>
      <w:r>
        <w:rPr>
          <w:rFonts w:hint="eastAsia" w:cs="仿宋_GB2312" w:asciiTheme="minorEastAsia" w:hAnsiTheme="minorEastAsia" w:eastAsiaTheme="minorEastAsia"/>
          <w:color w:val="auto"/>
          <w:szCs w:val="24"/>
        </w:rPr>
        <w:t>、负责地籍调查，出具地籍调查成果；</w:t>
      </w:r>
    </w:p>
    <w:p w14:paraId="78DFD300">
      <w:pPr>
        <w:spacing w:afterLines="50" w:line="400" w:lineRule="exact"/>
        <w:ind w:firstLine="480" w:firstLineChars="200"/>
        <w:rPr>
          <w:rFonts w:cs="宋体" w:asciiTheme="minorEastAsia" w:hAnsiTheme="minorEastAsia" w:eastAsiaTheme="minorEastAsia"/>
          <w:color w:val="auto"/>
          <w:szCs w:val="24"/>
        </w:rPr>
      </w:pPr>
      <w:r>
        <w:rPr>
          <w:rFonts w:cs="仿宋_GB2312" w:asciiTheme="minorEastAsia" w:hAnsiTheme="minorEastAsia" w:eastAsiaTheme="minorEastAsia"/>
          <w:color w:val="auto"/>
          <w:szCs w:val="24"/>
        </w:rPr>
        <w:t>5</w:t>
      </w:r>
      <w:r>
        <w:rPr>
          <w:rFonts w:hint="eastAsia" w:cs="仿宋_GB2312" w:asciiTheme="minorEastAsia" w:hAnsiTheme="minorEastAsia" w:eastAsiaTheme="minorEastAsia"/>
          <w:color w:val="auto"/>
          <w:szCs w:val="24"/>
        </w:rPr>
        <w:t>、负责邻界单位对地籍调查成果签字盖章。</w:t>
      </w:r>
    </w:p>
    <w:p w14:paraId="37A26999">
      <w:pPr>
        <w:spacing w:afterLines="50" w:line="400" w:lineRule="exact"/>
        <w:rPr>
          <w:rFonts w:ascii="宋体" w:cs="宋体"/>
          <w:color w:val="auto"/>
          <w:szCs w:val="24"/>
        </w:rPr>
      </w:pPr>
      <w:r>
        <w:rPr>
          <w:rFonts w:hint="eastAsia" w:ascii="宋体" w:cs="宋体"/>
          <w:color w:val="auto"/>
          <w:szCs w:val="24"/>
        </w:rPr>
        <w:t xml:space="preserve">    工作量：按实计算。</w:t>
      </w:r>
    </w:p>
    <w:p w14:paraId="340B3695">
      <w:pPr>
        <w:widowControl/>
        <w:spacing w:line="560" w:lineRule="exact"/>
        <w:ind w:firstLine="482" w:firstLineChars="200"/>
        <w:rPr>
          <w:rFonts w:hint="eastAsia" w:ascii="宋体"/>
          <w:b/>
          <w:color w:val="auto"/>
          <w:szCs w:val="24"/>
        </w:rPr>
      </w:pPr>
    </w:p>
    <w:p w14:paraId="0F5E1EDD">
      <w:pPr>
        <w:widowControl/>
        <w:spacing w:line="560" w:lineRule="exact"/>
        <w:ind w:firstLine="482" w:firstLineChars="200"/>
        <w:rPr>
          <w:rFonts w:ascii="宋体"/>
          <w:b/>
          <w:color w:val="auto"/>
          <w:szCs w:val="24"/>
        </w:rPr>
      </w:pPr>
      <w:r>
        <w:rPr>
          <w:rFonts w:hint="eastAsia" w:ascii="宋体"/>
          <w:b/>
          <w:color w:val="auto"/>
          <w:szCs w:val="24"/>
        </w:rPr>
        <w:t>第二条  项目工期</w:t>
      </w:r>
    </w:p>
    <w:p w14:paraId="5FE0CA9B">
      <w:pPr>
        <w:widowControl/>
        <w:spacing w:line="560" w:lineRule="exact"/>
        <w:ind w:firstLine="480" w:firstLineChars="200"/>
        <w:rPr>
          <w:rFonts w:ascii="宋体"/>
          <w:color w:val="auto"/>
          <w:szCs w:val="24"/>
        </w:rPr>
      </w:pPr>
      <w:r>
        <w:rPr>
          <w:rFonts w:hint="eastAsia" w:ascii="宋体"/>
          <w:color w:val="auto"/>
          <w:szCs w:val="24"/>
        </w:rPr>
        <w:t>本项目按甲方要求的时间开工，开工后</w:t>
      </w:r>
      <w:r>
        <w:rPr>
          <w:rFonts w:hint="default" w:ascii="宋体"/>
          <w:color w:val="auto"/>
          <w:szCs w:val="24"/>
          <w:lang w:val="en-US"/>
        </w:rPr>
        <w:t>2个月</w:t>
      </w:r>
      <w:r>
        <w:rPr>
          <w:rFonts w:hint="eastAsia" w:ascii="宋体"/>
          <w:color w:val="auto"/>
          <w:szCs w:val="24"/>
        </w:rPr>
        <w:t>内交付测绘成果（双方约定：相关管理部门审核、审查测绘成果的工作时间不计入合同工期）。</w:t>
      </w:r>
    </w:p>
    <w:p w14:paraId="538392F8">
      <w:pPr>
        <w:widowControl/>
        <w:spacing w:line="540" w:lineRule="exact"/>
        <w:rPr>
          <w:rFonts w:ascii="宋体"/>
          <w:b/>
          <w:color w:val="auto"/>
          <w:szCs w:val="24"/>
        </w:rPr>
      </w:pPr>
      <w:r>
        <w:rPr>
          <w:rFonts w:hint="eastAsia" w:ascii="宋体"/>
          <w:b/>
          <w:color w:val="auto"/>
          <w:szCs w:val="24"/>
        </w:rPr>
        <w:t xml:space="preserve">    第三条  测绘基准和标准</w:t>
      </w:r>
    </w:p>
    <w:p w14:paraId="1E264A0B">
      <w:pPr>
        <w:spacing w:line="540" w:lineRule="exact"/>
        <w:ind w:firstLine="480" w:firstLineChars="200"/>
        <w:rPr>
          <w:rFonts w:ascii="宋体"/>
          <w:color w:val="auto"/>
          <w:szCs w:val="24"/>
        </w:rPr>
      </w:pPr>
      <w:r>
        <w:rPr>
          <w:rFonts w:hint="eastAsia" w:ascii="宋体"/>
          <w:color w:val="auto"/>
          <w:szCs w:val="24"/>
        </w:rPr>
        <w:t>按国家现行测绘基准和技术标准执行。</w:t>
      </w:r>
    </w:p>
    <w:p w14:paraId="14230F1A">
      <w:pPr>
        <w:widowControl/>
        <w:spacing w:line="520" w:lineRule="exact"/>
        <w:ind w:firstLine="482" w:firstLineChars="200"/>
        <w:rPr>
          <w:rFonts w:ascii="宋体"/>
          <w:b/>
          <w:color w:val="auto"/>
          <w:szCs w:val="24"/>
        </w:rPr>
      </w:pPr>
      <w:r>
        <w:rPr>
          <w:rFonts w:hint="eastAsia" w:ascii="宋体"/>
          <w:b/>
          <w:color w:val="auto"/>
          <w:szCs w:val="24"/>
        </w:rPr>
        <w:t>第四条  服务费用</w:t>
      </w:r>
    </w:p>
    <w:p w14:paraId="7FFC1BA3">
      <w:pPr>
        <w:widowControl/>
        <w:spacing w:line="520" w:lineRule="exact"/>
        <w:ind w:firstLine="480" w:firstLineChars="200"/>
        <w:rPr>
          <w:rFonts w:ascii="宋体" w:hAnsi="宋体"/>
          <w:color w:val="auto"/>
          <w:szCs w:val="24"/>
        </w:rPr>
      </w:pPr>
      <w:r>
        <w:rPr>
          <w:rFonts w:hint="eastAsia" w:ascii="宋体" w:hAnsi="宋体"/>
          <w:color w:val="auto"/>
          <w:szCs w:val="24"/>
        </w:rPr>
        <w:t>根据甲方招标结果，本工程服务费用按</w:t>
      </w:r>
      <w:r>
        <w:rPr>
          <w:rFonts w:hint="eastAsia" w:ascii="宋体" w:hAnsi="宋体"/>
          <w:color w:val="auto"/>
          <w:szCs w:val="24"/>
          <w:u w:val="single"/>
        </w:rPr>
        <w:t xml:space="preserve">       </w:t>
      </w:r>
      <w:r>
        <w:rPr>
          <w:rFonts w:hint="eastAsia" w:ascii="宋体" w:hAnsi="宋体"/>
          <w:color w:val="auto"/>
          <w:szCs w:val="24"/>
        </w:rPr>
        <w:t>元/亩×实际完成工程量按实结算。</w:t>
      </w:r>
    </w:p>
    <w:p w14:paraId="75993398">
      <w:pPr>
        <w:widowControl/>
        <w:spacing w:line="520" w:lineRule="exact"/>
        <w:rPr>
          <w:rFonts w:ascii="宋体"/>
          <w:color w:val="auto"/>
          <w:szCs w:val="24"/>
        </w:rPr>
      </w:pPr>
      <w:r>
        <w:rPr>
          <w:rFonts w:hint="eastAsia" w:ascii="宋体" w:cs="宋体"/>
          <w:color w:val="auto"/>
          <w:szCs w:val="24"/>
        </w:rPr>
        <w:t xml:space="preserve">    </w:t>
      </w:r>
      <w:r>
        <w:rPr>
          <w:rFonts w:hint="eastAsia" w:ascii="宋体"/>
          <w:b/>
          <w:color w:val="auto"/>
          <w:szCs w:val="24"/>
        </w:rPr>
        <w:t>第五条  服务费用支付方式</w:t>
      </w:r>
    </w:p>
    <w:p w14:paraId="6D5FD9F4">
      <w:pPr>
        <w:widowControl/>
        <w:spacing w:line="520" w:lineRule="exact"/>
        <w:ind w:firstLine="480" w:firstLineChars="200"/>
        <w:rPr>
          <w:rFonts w:ascii="宋体" w:hAnsi="宋体"/>
          <w:color w:val="auto"/>
          <w:szCs w:val="24"/>
        </w:rPr>
      </w:pPr>
      <w:r>
        <w:rPr>
          <w:rFonts w:ascii="宋体" w:hAnsi="宋体"/>
          <w:color w:val="auto"/>
          <w:szCs w:val="24"/>
        </w:rPr>
        <w:t>乙方向甲方交付</w:t>
      </w:r>
      <w:r>
        <w:rPr>
          <w:rFonts w:hint="eastAsia" w:ascii="宋体"/>
          <w:color w:val="auto"/>
          <w:szCs w:val="24"/>
        </w:rPr>
        <w:t>合格有效的测绘成果</w:t>
      </w:r>
      <w:r>
        <w:rPr>
          <w:rFonts w:ascii="宋体" w:hAnsi="宋体"/>
          <w:color w:val="auto"/>
          <w:szCs w:val="24"/>
        </w:rPr>
        <w:t>之日起</w:t>
      </w:r>
      <w:r>
        <w:rPr>
          <w:rFonts w:hint="eastAsia" w:ascii="宋体" w:hAnsi="宋体"/>
          <w:color w:val="auto"/>
          <w:szCs w:val="24"/>
        </w:rPr>
        <w:t>1</w:t>
      </w:r>
      <w:r>
        <w:rPr>
          <w:rFonts w:ascii="宋体" w:hAnsi="宋体"/>
          <w:color w:val="auto"/>
          <w:szCs w:val="24"/>
        </w:rPr>
        <w:t>5日内，</w:t>
      </w:r>
      <w:r>
        <w:rPr>
          <w:rFonts w:hint="eastAsia" w:ascii="宋体" w:hAnsi="宋体"/>
          <w:color w:val="auto"/>
          <w:szCs w:val="24"/>
        </w:rPr>
        <w:t>开具1%增值税专票给甲方，</w:t>
      </w:r>
      <w:r>
        <w:rPr>
          <w:rFonts w:ascii="宋体" w:hAnsi="宋体"/>
          <w:color w:val="auto"/>
          <w:szCs w:val="24"/>
        </w:rPr>
        <w:t>甲方向乙方支付本项目</w:t>
      </w:r>
      <w:r>
        <w:rPr>
          <w:rFonts w:hint="eastAsia" w:ascii="宋体" w:hAnsi="宋体"/>
          <w:color w:val="auto"/>
          <w:szCs w:val="24"/>
        </w:rPr>
        <w:t>全部</w:t>
      </w:r>
      <w:r>
        <w:rPr>
          <w:rFonts w:ascii="宋体" w:hAnsi="宋体"/>
          <w:color w:val="auto"/>
          <w:szCs w:val="24"/>
        </w:rPr>
        <w:t>服务费用。</w:t>
      </w:r>
      <w:r>
        <w:rPr>
          <w:rFonts w:hint="eastAsia" w:ascii="宋体" w:hAnsi="宋体"/>
          <w:color w:val="auto"/>
          <w:szCs w:val="24"/>
        </w:rPr>
        <w:t>乙方在甲方实际支付协议款项前，应按甲方付款数额及甲方的合理要求向甲方开具符合国家法律法规和标准的增值税发票，乙方承诺其开具发票的形式与内容均合法、有效、完整、准确。乙方迟延开具或开具的发票不合法不合规的，甲方有权迟延支付价款且不承担违约责任。</w:t>
      </w:r>
    </w:p>
    <w:p w14:paraId="3A6B67B8">
      <w:pPr>
        <w:widowControl/>
        <w:spacing w:line="520" w:lineRule="exact"/>
        <w:ind w:firstLine="482" w:firstLineChars="200"/>
        <w:rPr>
          <w:rFonts w:ascii="宋体"/>
          <w:b/>
          <w:color w:val="auto"/>
          <w:szCs w:val="24"/>
        </w:rPr>
      </w:pPr>
      <w:r>
        <w:rPr>
          <w:rFonts w:hint="eastAsia" w:ascii="宋体"/>
          <w:b/>
          <w:color w:val="auto"/>
          <w:szCs w:val="24"/>
        </w:rPr>
        <w:t>第六条  甲方的义务</w:t>
      </w:r>
    </w:p>
    <w:p w14:paraId="04FDC955">
      <w:pPr>
        <w:widowControl/>
        <w:spacing w:line="520" w:lineRule="exact"/>
        <w:ind w:firstLine="480" w:firstLineChars="200"/>
        <w:rPr>
          <w:rFonts w:ascii="宋体"/>
          <w:color w:val="auto"/>
          <w:szCs w:val="24"/>
        </w:rPr>
      </w:pPr>
      <w:r>
        <w:rPr>
          <w:rFonts w:hint="eastAsia" w:ascii="宋体"/>
          <w:color w:val="auto"/>
          <w:szCs w:val="24"/>
        </w:rPr>
        <w:t>1. 合同签订之日后，向乙方提供满足项目开展所必需、且来源合法的有关资料。</w:t>
      </w:r>
    </w:p>
    <w:p w14:paraId="7AB93C89">
      <w:pPr>
        <w:widowControl/>
        <w:spacing w:line="520" w:lineRule="exact"/>
        <w:ind w:firstLine="480" w:firstLineChars="200"/>
        <w:rPr>
          <w:rFonts w:ascii="宋体"/>
          <w:color w:val="auto"/>
          <w:szCs w:val="24"/>
        </w:rPr>
      </w:pPr>
      <w:r>
        <w:rPr>
          <w:rFonts w:hint="eastAsia" w:ascii="宋体"/>
          <w:color w:val="auto"/>
          <w:szCs w:val="24"/>
        </w:rPr>
        <w:t>2. 做好乙方在项目实施过程中必需的协调配合工作。</w:t>
      </w:r>
    </w:p>
    <w:p w14:paraId="133B98FA">
      <w:pPr>
        <w:widowControl/>
        <w:spacing w:line="520" w:lineRule="exact"/>
        <w:ind w:firstLine="480" w:firstLineChars="200"/>
        <w:rPr>
          <w:rFonts w:ascii="宋体"/>
          <w:color w:val="auto"/>
          <w:szCs w:val="24"/>
        </w:rPr>
      </w:pPr>
      <w:r>
        <w:rPr>
          <w:rFonts w:hint="eastAsia" w:ascii="宋体"/>
          <w:color w:val="auto"/>
          <w:szCs w:val="24"/>
        </w:rPr>
        <w:t>3. 协调安全、保密、军队等有关部门，划定测绘范围，避免乙方在军事禁区、军事保护区、国家安全要害部门等涉密区域违法开展影像获取、数据采集、地理信息调查等测绘活动。</w:t>
      </w:r>
    </w:p>
    <w:p w14:paraId="3B6C93BC">
      <w:pPr>
        <w:widowControl/>
        <w:spacing w:line="520" w:lineRule="exact"/>
        <w:ind w:firstLine="480" w:firstLineChars="200"/>
        <w:rPr>
          <w:rFonts w:ascii="宋体"/>
          <w:color w:val="auto"/>
          <w:szCs w:val="24"/>
        </w:rPr>
      </w:pPr>
      <w:r>
        <w:rPr>
          <w:rFonts w:hint="eastAsia" w:ascii="宋体"/>
          <w:color w:val="auto"/>
          <w:szCs w:val="24"/>
        </w:rPr>
        <w:t>4. 按照本合同约定，按时足额支付服务费用。</w:t>
      </w:r>
    </w:p>
    <w:p w14:paraId="63F067BC">
      <w:pPr>
        <w:widowControl/>
        <w:spacing w:line="520" w:lineRule="exact"/>
        <w:ind w:firstLine="480" w:firstLineChars="200"/>
        <w:rPr>
          <w:rFonts w:ascii="宋体"/>
          <w:color w:val="auto"/>
          <w:szCs w:val="24"/>
        </w:rPr>
      </w:pPr>
      <w:r>
        <w:rPr>
          <w:rFonts w:hint="eastAsia" w:ascii="宋体"/>
          <w:color w:val="auto"/>
          <w:szCs w:val="24"/>
        </w:rPr>
        <w:t>5. 与本项目有关的、所有权属于</w:t>
      </w:r>
      <w:r>
        <w:rPr>
          <w:rFonts w:hint="eastAsia" w:ascii="宋体"/>
          <w:color w:val="auto"/>
          <w:szCs w:val="24"/>
          <w:lang w:val="en-US" w:eastAsia="zh-CN"/>
        </w:rPr>
        <w:t>甲</w:t>
      </w:r>
      <w:r>
        <w:rPr>
          <w:rFonts w:hint="eastAsia" w:ascii="宋体"/>
          <w:color w:val="auto"/>
          <w:szCs w:val="24"/>
        </w:rPr>
        <w:t>方的成果，未经</w:t>
      </w:r>
      <w:r>
        <w:rPr>
          <w:rFonts w:hint="eastAsia" w:ascii="宋体"/>
          <w:color w:val="auto"/>
          <w:szCs w:val="24"/>
          <w:lang w:val="en-US" w:eastAsia="zh-CN"/>
        </w:rPr>
        <w:t>甲</w:t>
      </w:r>
      <w:r>
        <w:rPr>
          <w:rFonts w:hint="eastAsia" w:ascii="宋体"/>
          <w:color w:val="auto"/>
          <w:szCs w:val="24"/>
        </w:rPr>
        <w:t>方授权，不得用于本项目之外的任何项目，或以任何形式向第三方转让或者提供</w:t>
      </w:r>
      <w:r>
        <w:rPr>
          <w:rFonts w:hint="eastAsia" w:ascii="宋体"/>
          <w:color w:val="auto"/>
          <w:szCs w:val="24"/>
          <w:lang w:val="en-US" w:eastAsia="zh-CN"/>
        </w:rPr>
        <w:t>服务</w:t>
      </w:r>
      <w:r>
        <w:rPr>
          <w:rFonts w:hint="eastAsia" w:ascii="宋体"/>
          <w:color w:val="auto"/>
          <w:szCs w:val="24"/>
        </w:rPr>
        <w:t>。</w:t>
      </w:r>
    </w:p>
    <w:p w14:paraId="557B4DC4">
      <w:pPr>
        <w:widowControl/>
        <w:spacing w:line="520" w:lineRule="exact"/>
        <w:ind w:firstLine="482" w:firstLineChars="200"/>
        <w:rPr>
          <w:rFonts w:ascii="宋体"/>
          <w:color w:val="auto"/>
          <w:szCs w:val="24"/>
        </w:rPr>
      </w:pPr>
      <w:r>
        <w:rPr>
          <w:rFonts w:hint="eastAsia" w:ascii="宋体"/>
          <w:b/>
          <w:color w:val="auto"/>
          <w:szCs w:val="24"/>
        </w:rPr>
        <w:t>第七条  乙方的义务</w:t>
      </w:r>
    </w:p>
    <w:p w14:paraId="01A331AD">
      <w:pPr>
        <w:widowControl/>
        <w:spacing w:line="520" w:lineRule="exact"/>
        <w:ind w:firstLine="480" w:firstLineChars="200"/>
        <w:rPr>
          <w:rFonts w:ascii="宋体"/>
          <w:color w:val="auto"/>
          <w:szCs w:val="24"/>
        </w:rPr>
      </w:pPr>
      <w:r>
        <w:rPr>
          <w:rFonts w:hint="eastAsia" w:ascii="宋体"/>
          <w:color w:val="auto"/>
          <w:szCs w:val="24"/>
        </w:rPr>
        <w:t>1. 在合同签订后项目实施前，完成项目网络备案登记工作</w:t>
      </w:r>
      <w:r>
        <w:rPr>
          <w:rFonts w:hint="eastAsia" w:ascii="宋体"/>
          <w:color w:val="auto"/>
          <w:szCs w:val="24"/>
          <w:lang w:eastAsia="zh-CN"/>
        </w:rPr>
        <w:t>。</w:t>
      </w:r>
    </w:p>
    <w:p w14:paraId="1ED24CE4">
      <w:pPr>
        <w:widowControl/>
        <w:spacing w:line="520" w:lineRule="exact"/>
        <w:ind w:firstLine="480" w:firstLineChars="200"/>
        <w:rPr>
          <w:rFonts w:ascii="宋体"/>
          <w:color w:val="auto"/>
          <w:szCs w:val="24"/>
        </w:rPr>
      </w:pPr>
      <w:r>
        <w:rPr>
          <w:rFonts w:hint="eastAsia" w:ascii="宋体"/>
          <w:color w:val="auto"/>
          <w:szCs w:val="24"/>
        </w:rPr>
        <w:t>2. 按合同约定期限交付项目成果。</w:t>
      </w:r>
    </w:p>
    <w:p w14:paraId="46C49231">
      <w:pPr>
        <w:widowControl/>
        <w:spacing w:line="520" w:lineRule="exact"/>
        <w:ind w:firstLine="480" w:firstLineChars="200"/>
        <w:rPr>
          <w:rFonts w:ascii="宋体"/>
          <w:color w:val="auto"/>
          <w:szCs w:val="24"/>
        </w:rPr>
      </w:pPr>
      <w:r>
        <w:rPr>
          <w:rFonts w:hint="eastAsia" w:ascii="宋体"/>
          <w:color w:val="auto"/>
          <w:szCs w:val="24"/>
        </w:rPr>
        <w:t>3. 确保所提供的成果不侵犯任何第三方的知识产权。</w:t>
      </w:r>
    </w:p>
    <w:p w14:paraId="6C455917">
      <w:pPr>
        <w:widowControl/>
        <w:spacing w:line="520" w:lineRule="exact"/>
        <w:ind w:firstLine="480" w:firstLineChars="200"/>
        <w:rPr>
          <w:rFonts w:ascii="宋体"/>
          <w:color w:val="auto"/>
          <w:szCs w:val="24"/>
        </w:rPr>
      </w:pPr>
      <w:r>
        <w:rPr>
          <w:rFonts w:hint="eastAsia" w:ascii="宋体"/>
          <w:color w:val="auto"/>
          <w:szCs w:val="24"/>
          <w:lang w:val="en-US" w:eastAsia="zh-CN"/>
        </w:rPr>
        <w:t>4</w:t>
      </w:r>
      <w:r>
        <w:rPr>
          <w:rFonts w:hint="eastAsia" w:ascii="宋体"/>
          <w:color w:val="auto"/>
          <w:szCs w:val="24"/>
        </w:rPr>
        <w:t>. 依法履行与项目相关的法定手续</w:t>
      </w:r>
      <w:r>
        <w:rPr>
          <w:rFonts w:hint="eastAsia" w:ascii="宋体"/>
          <w:b/>
          <w:color w:val="auto"/>
          <w:szCs w:val="24"/>
        </w:rPr>
        <w:t>。</w:t>
      </w:r>
    </w:p>
    <w:p w14:paraId="232495FB">
      <w:pPr>
        <w:widowControl/>
        <w:spacing w:line="520" w:lineRule="exact"/>
        <w:ind w:firstLine="482" w:firstLineChars="200"/>
        <w:rPr>
          <w:rFonts w:ascii="宋体"/>
          <w:b/>
          <w:color w:val="auto"/>
          <w:szCs w:val="24"/>
        </w:rPr>
      </w:pPr>
      <w:r>
        <w:rPr>
          <w:rFonts w:hint="eastAsia" w:ascii="宋体"/>
          <w:b/>
          <w:color w:val="auto"/>
          <w:szCs w:val="24"/>
        </w:rPr>
        <w:t>第八条　保密约定</w:t>
      </w:r>
    </w:p>
    <w:p w14:paraId="265EFDDE">
      <w:pPr>
        <w:widowControl/>
        <w:spacing w:line="520" w:lineRule="exact"/>
        <w:ind w:firstLine="480" w:firstLineChars="200"/>
        <w:rPr>
          <w:rFonts w:ascii="宋体"/>
          <w:color w:val="auto"/>
          <w:szCs w:val="24"/>
        </w:rPr>
      </w:pPr>
      <w:r>
        <w:rPr>
          <w:rFonts w:hint="eastAsia" w:ascii="宋体"/>
          <w:color w:val="auto"/>
          <w:szCs w:val="24"/>
        </w:rPr>
        <w:t>1. 双方遵守国家有关保密的法律法规规定</w:t>
      </w:r>
      <w:r>
        <w:rPr>
          <w:rFonts w:hint="eastAsia" w:ascii="宋体"/>
          <w:color w:val="auto"/>
          <w:szCs w:val="24"/>
          <w:lang w:eastAsia="zh-CN"/>
        </w:rPr>
        <w:t>。</w:t>
      </w:r>
    </w:p>
    <w:p w14:paraId="10304D93">
      <w:pPr>
        <w:widowControl/>
        <w:spacing w:line="520" w:lineRule="exact"/>
        <w:ind w:firstLine="480" w:firstLineChars="200"/>
        <w:rPr>
          <w:rFonts w:ascii="宋体"/>
          <w:color w:val="auto"/>
          <w:szCs w:val="24"/>
        </w:rPr>
      </w:pPr>
      <w:r>
        <w:rPr>
          <w:rFonts w:hint="eastAsia" w:ascii="宋体"/>
          <w:color w:val="auto"/>
          <w:szCs w:val="24"/>
        </w:rPr>
        <w:t>2. 双方互相保守商业秘密。</w:t>
      </w:r>
    </w:p>
    <w:p w14:paraId="396ED675">
      <w:pPr>
        <w:widowControl/>
        <w:spacing w:line="520" w:lineRule="exact"/>
        <w:ind w:firstLine="480" w:firstLineChars="200"/>
        <w:rPr>
          <w:rFonts w:ascii="宋体"/>
          <w:color w:val="auto"/>
          <w:szCs w:val="24"/>
        </w:rPr>
      </w:pPr>
      <w:r>
        <w:rPr>
          <w:rFonts w:hint="eastAsia" w:ascii="宋体"/>
          <w:color w:val="auto"/>
          <w:szCs w:val="24"/>
        </w:rPr>
        <w:t>3. 双方另有保密协议的，还需遵守保密协议的约定。</w:t>
      </w:r>
    </w:p>
    <w:p w14:paraId="1EF829BB">
      <w:pPr>
        <w:widowControl/>
        <w:spacing w:line="520" w:lineRule="exact"/>
        <w:ind w:firstLine="482" w:firstLineChars="200"/>
        <w:rPr>
          <w:rFonts w:ascii="宋体"/>
          <w:b/>
          <w:color w:val="auto"/>
          <w:szCs w:val="24"/>
        </w:rPr>
      </w:pPr>
      <w:r>
        <w:rPr>
          <w:rFonts w:hint="eastAsia" w:ascii="宋体"/>
          <w:b/>
          <w:color w:val="auto"/>
          <w:szCs w:val="24"/>
        </w:rPr>
        <w:t>第九条  项目分包</w:t>
      </w:r>
    </w:p>
    <w:p w14:paraId="2F3F9E5B">
      <w:pPr>
        <w:widowControl/>
        <w:spacing w:line="520" w:lineRule="exact"/>
        <w:ind w:firstLine="480" w:firstLineChars="200"/>
        <w:rPr>
          <w:rFonts w:ascii="宋体"/>
          <w:color w:val="auto"/>
          <w:szCs w:val="24"/>
        </w:rPr>
      </w:pPr>
      <w:r>
        <w:rPr>
          <w:rFonts w:hint="default"/>
          <w:spacing w:val="0"/>
          <w:sz w:val="24"/>
          <w:lang w:eastAsia="zh-CN"/>
        </w:rPr>
        <w:t>未经甲方书面同意，乙方不得将本合同约定之服务或任何一部分进行任何方式的转包或违法分包。</w:t>
      </w:r>
      <w:r>
        <w:rPr>
          <w:rFonts w:hint="eastAsia"/>
          <w:spacing w:val="0"/>
          <w:sz w:val="24"/>
          <w:lang w:val="en-US" w:eastAsia="zh-CN"/>
        </w:rPr>
        <w:t>否则，甲方有权解除合同并要求乙方承担违约责任及因此造成的一切损失</w:t>
      </w:r>
      <w:r>
        <w:rPr>
          <w:rFonts w:hint="eastAsia" w:ascii="宋体"/>
          <w:color w:val="auto"/>
          <w:szCs w:val="24"/>
        </w:rPr>
        <w:t>。</w:t>
      </w:r>
    </w:p>
    <w:p w14:paraId="6E89489A">
      <w:pPr>
        <w:widowControl/>
        <w:spacing w:line="520" w:lineRule="exact"/>
        <w:ind w:firstLine="482" w:firstLineChars="200"/>
        <w:rPr>
          <w:rFonts w:ascii="宋体"/>
          <w:b/>
          <w:color w:val="auto"/>
          <w:szCs w:val="24"/>
        </w:rPr>
      </w:pPr>
      <w:r>
        <w:rPr>
          <w:rFonts w:hint="eastAsia" w:ascii="宋体"/>
          <w:b/>
          <w:color w:val="auto"/>
          <w:szCs w:val="24"/>
        </w:rPr>
        <w:t>第十条  项目监理</w:t>
      </w:r>
    </w:p>
    <w:p w14:paraId="45CD3B44">
      <w:pPr>
        <w:widowControl/>
        <w:spacing w:line="520" w:lineRule="exact"/>
        <w:ind w:firstLine="480" w:firstLineChars="200"/>
        <w:rPr>
          <w:rFonts w:ascii="宋体"/>
          <w:color w:val="auto"/>
          <w:szCs w:val="24"/>
        </w:rPr>
      </w:pPr>
      <w:r>
        <w:rPr>
          <w:rFonts w:hint="eastAsia" w:ascii="宋体"/>
          <w:color w:val="auto"/>
          <w:szCs w:val="24"/>
        </w:rPr>
        <w:t>不实施项目监理。</w:t>
      </w:r>
    </w:p>
    <w:p w14:paraId="44582D88">
      <w:pPr>
        <w:widowControl/>
        <w:spacing w:line="520" w:lineRule="exact"/>
        <w:ind w:firstLine="482" w:firstLineChars="200"/>
        <w:rPr>
          <w:rFonts w:ascii="宋体"/>
          <w:b/>
          <w:color w:val="auto"/>
          <w:szCs w:val="24"/>
        </w:rPr>
      </w:pPr>
      <w:r>
        <w:rPr>
          <w:rFonts w:hint="eastAsia" w:ascii="宋体"/>
          <w:b/>
          <w:color w:val="auto"/>
          <w:szCs w:val="24"/>
        </w:rPr>
        <w:t>第十一条   项目成果的所有权、使用权和著作权归属的约定：</w:t>
      </w:r>
    </w:p>
    <w:p w14:paraId="1987F6AD">
      <w:pPr>
        <w:widowControl/>
        <w:spacing w:line="520" w:lineRule="exact"/>
        <w:ind w:firstLine="180" w:firstLineChars="75"/>
        <w:rPr>
          <w:rFonts w:ascii="宋体"/>
          <w:color w:val="auto"/>
          <w:szCs w:val="24"/>
        </w:rPr>
      </w:pPr>
      <w:r>
        <w:rPr>
          <w:rFonts w:hint="eastAsia" w:ascii="宋体"/>
          <w:color w:val="auto"/>
          <w:szCs w:val="24"/>
        </w:rPr>
        <w:t xml:space="preserve">   1. 在测绘过程中，但凡涉及甲方秘密的资料，需要得到甲方允许方可实施；</w:t>
      </w:r>
    </w:p>
    <w:p w14:paraId="6BA193D3">
      <w:pPr>
        <w:widowControl/>
        <w:spacing w:line="520" w:lineRule="exact"/>
        <w:ind w:firstLine="180" w:firstLineChars="75"/>
        <w:rPr>
          <w:rFonts w:ascii="宋体"/>
          <w:color w:val="auto"/>
          <w:szCs w:val="24"/>
        </w:rPr>
      </w:pPr>
      <w:r>
        <w:rPr>
          <w:rFonts w:hint="eastAsia" w:ascii="宋体"/>
          <w:color w:val="auto"/>
          <w:szCs w:val="24"/>
        </w:rPr>
        <w:t xml:space="preserve">   2. 测绘成果所涉及的坐标秘密，甲乙双方均不得外泄；</w:t>
      </w:r>
    </w:p>
    <w:p w14:paraId="12D18B5E">
      <w:pPr>
        <w:widowControl/>
        <w:spacing w:line="520" w:lineRule="exact"/>
        <w:ind w:firstLine="180" w:firstLineChars="75"/>
        <w:rPr>
          <w:rFonts w:ascii="宋体"/>
          <w:color w:val="auto"/>
          <w:szCs w:val="24"/>
        </w:rPr>
      </w:pPr>
      <w:r>
        <w:rPr>
          <w:rFonts w:hint="eastAsia" w:ascii="宋体"/>
          <w:color w:val="auto"/>
          <w:szCs w:val="24"/>
        </w:rPr>
        <w:t xml:space="preserve">   3. 测绘成果所有权归甲方所有，未经甲方允许乙方不得私自外泄。 </w:t>
      </w:r>
    </w:p>
    <w:p w14:paraId="1C29FFBE">
      <w:pPr>
        <w:widowControl/>
        <w:spacing w:line="520" w:lineRule="exact"/>
        <w:ind w:firstLine="482" w:firstLineChars="200"/>
        <w:rPr>
          <w:rFonts w:ascii="宋体"/>
          <w:b/>
          <w:color w:val="auto"/>
          <w:szCs w:val="24"/>
        </w:rPr>
      </w:pPr>
      <w:r>
        <w:rPr>
          <w:rFonts w:hint="eastAsia" w:ascii="宋体"/>
          <w:b/>
          <w:color w:val="auto"/>
          <w:szCs w:val="24"/>
        </w:rPr>
        <w:t>第十二条   成果汇交</w:t>
      </w:r>
    </w:p>
    <w:p w14:paraId="136FACEA">
      <w:pPr>
        <w:widowControl/>
        <w:spacing w:line="520" w:lineRule="exact"/>
        <w:ind w:firstLine="480" w:firstLineChars="200"/>
        <w:rPr>
          <w:rFonts w:ascii="宋体"/>
          <w:color w:val="auto"/>
          <w:szCs w:val="24"/>
        </w:rPr>
      </w:pPr>
      <w:r>
        <w:rPr>
          <w:rFonts w:hint="eastAsia" w:ascii="宋体"/>
          <w:color w:val="auto"/>
          <w:szCs w:val="24"/>
        </w:rPr>
        <w:t>□甲方汇交。</w:t>
      </w:r>
    </w:p>
    <w:p w14:paraId="02E09585">
      <w:pPr>
        <w:widowControl/>
        <w:spacing w:line="520" w:lineRule="exact"/>
        <w:ind w:firstLine="480" w:firstLineChars="200"/>
        <w:rPr>
          <w:rFonts w:ascii="宋体"/>
          <w:color w:val="auto"/>
          <w:szCs w:val="24"/>
        </w:rPr>
      </w:pPr>
      <w:r>
        <w:rPr>
          <w:rFonts w:hint="eastAsia" w:ascii="宋体"/>
          <w:color w:val="auto"/>
          <w:szCs w:val="24"/>
        </w:rPr>
        <w:t>☑甲方委托乙方汇交。</w:t>
      </w:r>
    </w:p>
    <w:p w14:paraId="0D94ADFF">
      <w:pPr>
        <w:widowControl/>
        <w:tabs>
          <w:tab w:val="center" w:pos="4125"/>
        </w:tabs>
        <w:spacing w:line="520" w:lineRule="exact"/>
        <w:ind w:firstLine="482" w:firstLineChars="200"/>
        <w:rPr>
          <w:rFonts w:ascii="宋体"/>
          <w:b/>
          <w:color w:val="auto"/>
          <w:szCs w:val="24"/>
        </w:rPr>
      </w:pPr>
      <w:r>
        <w:rPr>
          <w:rFonts w:hint="eastAsia" w:ascii="宋体"/>
          <w:b/>
          <w:color w:val="auto"/>
          <w:szCs w:val="24"/>
        </w:rPr>
        <w:t xml:space="preserve">第十三条  甲方违约责任 </w:t>
      </w:r>
      <w:r>
        <w:rPr>
          <w:rFonts w:hint="eastAsia" w:ascii="宋体"/>
          <w:b/>
          <w:color w:val="auto"/>
          <w:szCs w:val="24"/>
        </w:rPr>
        <w:tab/>
      </w:r>
    </w:p>
    <w:p w14:paraId="08C71AAC">
      <w:pPr>
        <w:widowControl/>
        <w:spacing w:line="520" w:lineRule="exact"/>
        <w:ind w:firstLine="480" w:firstLineChars="200"/>
        <w:rPr>
          <w:rFonts w:ascii="宋体"/>
          <w:color w:val="auto"/>
          <w:szCs w:val="24"/>
        </w:rPr>
      </w:pPr>
      <w:r>
        <w:rPr>
          <w:rFonts w:hint="eastAsia" w:ascii="宋体"/>
          <w:color w:val="auto"/>
          <w:szCs w:val="24"/>
        </w:rPr>
        <w:t>1. 合同签订后，因甲方原因导致项目停止而终止合同的，甲方按乙方完成的实际工作量支付服务费用。</w:t>
      </w:r>
    </w:p>
    <w:p w14:paraId="71BBDBE3">
      <w:pPr>
        <w:widowControl/>
        <w:spacing w:line="520" w:lineRule="exact"/>
        <w:ind w:firstLine="480" w:firstLineChars="200"/>
        <w:rPr>
          <w:rFonts w:ascii="宋体"/>
          <w:color w:val="auto"/>
          <w:szCs w:val="24"/>
        </w:rPr>
      </w:pPr>
      <w:r>
        <w:rPr>
          <w:rFonts w:hint="eastAsia" w:ascii="宋体"/>
          <w:color w:val="auto"/>
          <w:szCs w:val="24"/>
        </w:rPr>
        <w:t>2. 乙方开展工作后，因甲方未提供必需的工作配合而造成工期延误和项目中断的，项目工期</w:t>
      </w:r>
      <w:r>
        <w:rPr>
          <w:rFonts w:hint="eastAsia" w:ascii="宋体"/>
          <w:color w:val="auto"/>
          <w:szCs w:val="24"/>
          <w:lang w:val="en-US" w:eastAsia="zh-CN"/>
        </w:rPr>
        <w:t>相应</w:t>
      </w:r>
      <w:r>
        <w:rPr>
          <w:rFonts w:hint="eastAsia" w:ascii="宋体"/>
          <w:color w:val="auto"/>
          <w:szCs w:val="24"/>
        </w:rPr>
        <w:t>顺延。</w:t>
      </w:r>
    </w:p>
    <w:p w14:paraId="46A37EAB">
      <w:pPr>
        <w:widowControl/>
        <w:spacing w:line="520" w:lineRule="exact"/>
        <w:ind w:firstLine="480" w:firstLineChars="200"/>
        <w:rPr>
          <w:rFonts w:ascii="宋体"/>
          <w:color w:val="auto"/>
          <w:szCs w:val="24"/>
        </w:rPr>
      </w:pPr>
      <w:r>
        <w:rPr>
          <w:rFonts w:hint="eastAsia" w:ascii="宋体"/>
          <w:color w:val="auto"/>
          <w:szCs w:val="24"/>
        </w:rPr>
        <w:t>3. 甲方未按合同约定期限支付乙方服务费用，超过约定期限十日内的，甲方按日向乙方支付本合同约定服务费用万分之五的违约金，合同继续履行；超过约定期限十日以上，乙方有权解除合同，甲方向乙方支付本合同约定服务费用及万分之五的违约金。</w:t>
      </w:r>
    </w:p>
    <w:p w14:paraId="3D36C33A">
      <w:pPr>
        <w:widowControl/>
        <w:spacing w:line="520" w:lineRule="exact"/>
        <w:ind w:firstLine="480" w:firstLineChars="200"/>
        <w:rPr>
          <w:rFonts w:ascii="宋体"/>
          <w:color w:val="auto"/>
          <w:szCs w:val="24"/>
        </w:rPr>
      </w:pPr>
      <w:r>
        <w:rPr>
          <w:rFonts w:hint="eastAsia" w:ascii="宋体"/>
          <w:color w:val="auto"/>
          <w:szCs w:val="24"/>
          <w:lang w:val="en-US" w:eastAsia="zh-CN"/>
        </w:rPr>
        <w:t>4</w:t>
      </w:r>
      <w:r>
        <w:rPr>
          <w:rFonts w:hint="eastAsia" w:ascii="宋体"/>
          <w:color w:val="auto"/>
          <w:szCs w:val="24"/>
        </w:rPr>
        <w:t>. 甲方未履行本合同第八条约定的，赔偿乙方损失。</w:t>
      </w:r>
    </w:p>
    <w:p w14:paraId="32CB3F64">
      <w:pPr>
        <w:widowControl/>
        <w:spacing w:line="520" w:lineRule="exact"/>
        <w:ind w:firstLine="480" w:firstLineChars="200"/>
        <w:rPr>
          <w:rFonts w:ascii="宋体"/>
          <w:color w:val="auto"/>
          <w:szCs w:val="24"/>
        </w:rPr>
      </w:pPr>
      <w:r>
        <w:rPr>
          <w:rFonts w:hint="eastAsia" w:ascii="宋体"/>
          <w:color w:val="auto"/>
          <w:szCs w:val="24"/>
          <w:lang w:val="en-US" w:eastAsia="zh-CN"/>
        </w:rPr>
        <w:t>5</w:t>
      </w:r>
      <w:r>
        <w:rPr>
          <w:rFonts w:hint="eastAsia" w:ascii="宋体"/>
          <w:color w:val="auto"/>
          <w:szCs w:val="24"/>
        </w:rPr>
        <w:t>. 其他约定：无。</w:t>
      </w:r>
    </w:p>
    <w:p w14:paraId="12AAE2CD">
      <w:pPr>
        <w:widowControl/>
        <w:spacing w:line="520" w:lineRule="exact"/>
        <w:ind w:firstLine="482" w:firstLineChars="200"/>
        <w:rPr>
          <w:rFonts w:ascii="宋体"/>
          <w:b/>
          <w:color w:val="auto"/>
          <w:szCs w:val="24"/>
        </w:rPr>
      </w:pPr>
      <w:r>
        <w:rPr>
          <w:rFonts w:hint="eastAsia" w:ascii="宋体"/>
          <w:b/>
          <w:color w:val="auto"/>
          <w:szCs w:val="24"/>
        </w:rPr>
        <w:t xml:space="preserve">第十四条  乙方违约责任 </w:t>
      </w:r>
    </w:p>
    <w:p w14:paraId="7DFF8EF8">
      <w:pPr>
        <w:widowControl/>
        <w:spacing w:line="520" w:lineRule="exact"/>
        <w:ind w:firstLine="480" w:firstLineChars="200"/>
        <w:rPr>
          <w:rFonts w:ascii="宋体"/>
          <w:color w:val="auto"/>
          <w:szCs w:val="24"/>
        </w:rPr>
      </w:pPr>
      <w:r>
        <w:rPr>
          <w:rFonts w:hint="eastAsia" w:ascii="宋体"/>
          <w:color w:val="auto"/>
          <w:szCs w:val="24"/>
        </w:rPr>
        <w:t>1. 合同签订后，因乙方原因终止合同的，乙方向甲方返还已收到的服务费用，并赔偿甲方经济损失。</w:t>
      </w:r>
    </w:p>
    <w:p w14:paraId="04508D0B">
      <w:pPr>
        <w:widowControl/>
        <w:spacing w:line="520" w:lineRule="exact"/>
        <w:ind w:firstLine="480" w:firstLineChars="200"/>
        <w:rPr>
          <w:rFonts w:ascii="宋体"/>
          <w:color w:val="auto"/>
          <w:szCs w:val="24"/>
        </w:rPr>
      </w:pPr>
      <w:r>
        <w:rPr>
          <w:rFonts w:hint="eastAsia" w:ascii="宋体"/>
          <w:color w:val="auto"/>
          <w:szCs w:val="24"/>
        </w:rPr>
        <w:t>2. 未按合同约定期限交付质量合格的项目成果，超过约定期限十日内，乙方按日向甲方支付本合同约定服务费用万分之五的违约金，并赔偿甲方损失。</w:t>
      </w:r>
    </w:p>
    <w:p w14:paraId="107B9765">
      <w:pPr>
        <w:widowControl/>
        <w:spacing w:line="520" w:lineRule="exact"/>
        <w:ind w:firstLine="480" w:firstLineChars="200"/>
        <w:rPr>
          <w:rFonts w:ascii="宋体"/>
          <w:color w:val="auto"/>
          <w:szCs w:val="24"/>
        </w:rPr>
      </w:pPr>
      <w:r>
        <w:rPr>
          <w:rFonts w:hint="eastAsia" w:ascii="宋体"/>
          <w:color w:val="auto"/>
          <w:szCs w:val="24"/>
        </w:rPr>
        <w:t>3. 乙方未履行本合同第</w:t>
      </w:r>
      <w:r>
        <w:rPr>
          <w:rFonts w:hint="eastAsia" w:ascii="宋体"/>
          <w:color w:val="auto"/>
          <w:szCs w:val="24"/>
          <w:lang w:val="en-US" w:eastAsia="zh-CN"/>
        </w:rPr>
        <w:t>六</w:t>
      </w:r>
      <w:r>
        <w:rPr>
          <w:rFonts w:hint="eastAsia" w:ascii="宋体"/>
          <w:color w:val="auto"/>
          <w:szCs w:val="24"/>
        </w:rPr>
        <w:t>条第</w:t>
      </w:r>
      <w:r>
        <w:rPr>
          <w:rFonts w:hint="eastAsia" w:ascii="宋体"/>
          <w:color w:val="auto"/>
          <w:szCs w:val="24"/>
          <w:lang w:val="en-US" w:eastAsia="zh-CN"/>
        </w:rPr>
        <w:t>5</w:t>
      </w:r>
      <w:r>
        <w:rPr>
          <w:rFonts w:hint="eastAsia" w:ascii="宋体"/>
          <w:color w:val="auto"/>
          <w:szCs w:val="24"/>
        </w:rPr>
        <w:t>款义务的，赔偿甲方损失。</w:t>
      </w:r>
    </w:p>
    <w:p w14:paraId="22844C75">
      <w:pPr>
        <w:widowControl/>
        <w:spacing w:line="520" w:lineRule="exact"/>
        <w:ind w:firstLine="480" w:firstLineChars="200"/>
        <w:rPr>
          <w:rFonts w:ascii="宋体"/>
          <w:color w:val="auto"/>
          <w:szCs w:val="24"/>
        </w:rPr>
      </w:pPr>
      <w:r>
        <w:rPr>
          <w:rFonts w:hint="eastAsia" w:ascii="宋体"/>
          <w:color w:val="auto"/>
          <w:szCs w:val="24"/>
        </w:rPr>
        <w:t xml:space="preserve">4. 乙方转包、擅自分包合同业务，甲方有权解除合同，乙方向甲方支付本合同约定服务费用万分之五的违约金。 　　 </w:t>
      </w:r>
    </w:p>
    <w:p w14:paraId="7521ADF3">
      <w:pPr>
        <w:widowControl/>
        <w:spacing w:line="520" w:lineRule="exact"/>
        <w:ind w:firstLine="480" w:firstLineChars="200"/>
        <w:rPr>
          <w:rFonts w:hint="eastAsia" w:ascii="宋体"/>
          <w:color w:val="auto"/>
          <w:szCs w:val="24"/>
        </w:rPr>
      </w:pPr>
      <w:r>
        <w:rPr>
          <w:rFonts w:hint="eastAsia" w:ascii="宋体"/>
          <w:color w:val="auto"/>
          <w:szCs w:val="24"/>
        </w:rPr>
        <w:t>5. 乙方未履行本合同第八条约定的，赔偿甲方损失。</w:t>
      </w:r>
    </w:p>
    <w:p w14:paraId="49182250">
      <w:pPr>
        <w:widowControl/>
        <w:spacing w:line="520" w:lineRule="exact"/>
        <w:ind w:firstLine="480" w:firstLineChars="200"/>
        <w:rPr>
          <w:rFonts w:hint="eastAsia" w:ascii="宋体"/>
          <w:color w:val="auto"/>
          <w:szCs w:val="24"/>
          <w:lang w:val="en-US" w:eastAsia="zh-CN"/>
        </w:rPr>
      </w:pPr>
      <w:r>
        <w:rPr>
          <w:rFonts w:hint="eastAsia" w:ascii="宋体"/>
          <w:color w:val="auto"/>
          <w:szCs w:val="24"/>
          <w:lang w:val="en-US" w:eastAsia="zh-CN"/>
        </w:rPr>
        <w:t xml:space="preserve">6. </w:t>
      </w:r>
      <w:r>
        <w:rPr>
          <w:rFonts w:hint="eastAsia" w:ascii="宋体"/>
          <w:color w:val="auto"/>
          <w:szCs w:val="24"/>
        </w:rPr>
        <w:t>如因乙方或乙方工作人员在履行职务过程中的疏忽、失职、过错等故意或者过失原因或乙方产品原因，造成甲方或乙方或任何第三方的人身损害、财产损失，包括但不限于甲方本身的财产损失、由此而导致的甲方对任何第三方的法律责任等，由乙方自行承担全部法律责任；因此造成甲方对外承担责任的，甲方有权向乙方全额追偿。</w:t>
      </w:r>
    </w:p>
    <w:p w14:paraId="54D65F42">
      <w:pPr>
        <w:widowControl/>
        <w:spacing w:line="520" w:lineRule="exact"/>
        <w:ind w:firstLine="480" w:firstLineChars="200"/>
        <w:rPr>
          <w:rFonts w:hint="eastAsia" w:ascii="宋体"/>
          <w:color w:val="auto"/>
          <w:szCs w:val="24"/>
        </w:rPr>
      </w:pPr>
      <w:r>
        <w:rPr>
          <w:rFonts w:hint="eastAsia" w:ascii="宋体"/>
          <w:color w:val="auto"/>
          <w:szCs w:val="24"/>
          <w:lang w:val="en-US" w:eastAsia="zh-CN"/>
        </w:rPr>
        <w:t xml:space="preserve">7. </w:t>
      </w:r>
      <w:r>
        <w:rPr>
          <w:rFonts w:hint="eastAsia" w:ascii="宋体"/>
          <w:color w:val="auto"/>
          <w:szCs w:val="24"/>
        </w:rPr>
        <w:t>违约金不足以弥补守约方损失的，应向守约方补足损失。</w:t>
      </w:r>
    </w:p>
    <w:p w14:paraId="26E7C171">
      <w:pPr>
        <w:widowControl/>
        <w:spacing w:line="520" w:lineRule="exact"/>
        <w:ind w:firstLine="480" w:firstLineChars="200"/>
        <w:rPr>
          <w:rFonts w:hint="eastAsia" w:ascii="宋体"/>
          <w:color w:val="auto"/>
          <w:szCs w:val="24"/>
        </w:rPr>
      </w:pPr>
      <w:r>
        <w:rPr>
          <w:rFonts w:hint="eastAsia" w:ascii="宋体" w:cs="Times New Roman"/>
          <w:b w:val="0"/>
          <w:bCs w:val="0"/>
          <w:color w:val="auto"/>
          <w:sz w:val="24"/>
          <w:szCs w:val="24"/>
          <w:lang w:val="en-US" w:eastAsia="zh-CN"/>
        </w:rPr>
        <w:t>8</w:t>
      </w:r>
      <w:r>
        <w:rPr>
          <w:rFonts w:hint="eastAsia" w:ascii="宋体" w:hAnsi="Times New Roman" w:eastAsia="宋体" w:cs="Times New Roman"/>
          <w:b w:val="0"/>
          <w:bCs w:val="0"/>
          <w:color w:val="auto"/>
          <w:sz w:val="24"/>
          <w:szCs w:val="24"/>
          <w:lang w:val="en-US" w:eastAsia="zh-CN"/>
        </w:rPr>
        <w:t>.</w:t>
      </w:r>
      <w:r>
        <w:rPr>
          <w:rFonts w:hint="eastAsia" w:ascii="宋体" w:cs="Times New Roman"/>
          <w:b w:val="0"/>
          <w:bCs w:val="0"/>
          <w:color w:val="auto"/>
          <w:sz w:val="24"/>
          <w:szCs w:val="24"/>
          <w:lang w:val="en-US" w:eastAsia="zh-CN"/>
        </w:rPr>
        <w:t xml:space="preserve"> </w:t>
      </w:r>
      <w:r>
        <w:rPr>
          <w:rFonts w:hint="eastAsia" w:ascii="宋体"/>
          <w:b w:val="0"/>
          <w:bCs w:val="0"/>
          <w:color w:val="auto"/>
          <w:sz w:val="24"/>
          <w:szCs w:val="24"/>
          <w:lang w:val="en-US" w:eastAsia="zh-CN"/>
        </w:rPr>
        <w:t>本</w:t>
      </w:r>
      <w:r>
        <w:rPr>
          <w:rFonts w:hint="eastAsia" w:ascii="宋体" w:hAnsi="Times New Roman" w:eastAsia="宋体" w:cs="Times New Roman"/>
          <w:b w:val="0"/>
          <w:bCs w:val="0"/>
          <w:color w:val="auto"/>
          <w:sz w:val="24"/>
          <w:szCs w:val="24"/>
          <w:lang w:val="en-US" w:eastAsia="zh-CN"/>
        </w:rPr>
        <w:t>合同</w:t>
      </w:r>
      <w:r>
        <w:rPr>
          <w:rFonts w:hint="eastAsia" w:ascii="宋体"/>
          <w:b w:val="0"/>
          <w:bCs w:val="0"/>
          <w:color w:val="auto"/>
          <w:sz w:val="24"/>
          <w:szCs w:val="24"/>
          <w:lang w:val="en-US" w:eastAsia="zh-CN"/>
        </w:rPr>
        <w:t>约定损失为直接损失、可得利益损失以及甲方为实现权利产生的律师费、保全担保费、差旅费、评估费、鉴定费、拍卖费、公证费等全部费用。</w:t>
      </w:r>
    </w:p>
    <w:p w14:paraId="4EDBC6B5">
      <w:pPr>
        <w:widowControl/>
        <w:spacing w:line="520" w:lineRule="exact"/>
        <w:ind w:firstLine="480" w:firstLineChars="200"/>
        <w:rPr>
          <w:rFonts w:ascii="宋体"/>
          <w:color w:val="auto"/>
          <w:szCs w:val="24"/>
        </w:rPr>
      </w:pPr>
      <w:r>
        <w:rPr>
          <w:rFonts w:hint="eastAsia" w:ascii="宋体"/>
          <w:color w:val="auto"/>
          <w:szCs w:val="24"/>
          <w:lang w:val="en-US" w:eastAsia="zh-CN"/>
        </w:rPr>
        <w:t>9</w:t>
      </w:r>
      <w:r>
        <w:rPr>
          <w:rFonts w:hint="eastAsia" w:ascii="宋体"/>
          <w:color w:val="auto"/>
          <w:szCs w:val="24"/>
        </w:rPr>
        <w:t>. 其他约定</w:t>
      </w:r>
      <w:r>
        <w:rPr>
          <w:rFonts w:hint="eastAsia" w:ascii="宋体"/>
          <w:color w:val="auto"/>
          <w:szCs w:val="24"/>
          <w:lang w:eastAsia="zh-CN"/>
        </w:rPr>
        <w:t>：</w:t>
      </w:r>
      <w:r>
        <w:rPr>
          <w:rFonts w:hint="eastAsia" w:ascii="宋体"/>
          <w:color w:val="auto"/>
          <w:szCs w:val="24"/>
        </w:rPr>
        <w:t>无。</w:t>
      </w:r>
    </w:p>
    <w:p w14:paraId="3E178143">
      <w:pPr>
        <w:widowControl/>
        <w:spacing w:line="520" w:lineRule="exact"/>
        <w:ind w:firstLine="482" w:firstLineChars="200"/>
        <w:rPr>
          <w:rFonts w:ascii="宋体"/>
          <w:b/>
          <w:color w:val="auto"/>
          <w:szCs w:val="24"/>
        </w:rPr>
      </w:pPr>
      <w:r>
        <w:rPr>
          <w:rFonts w:hint="eastAsia" w:ascii="宋体"/>
          <w:b/>
          <w:color w:val="auto"/>
          <w:szCs w:val="24"/>
        </w:rPr>
        <w:t>第十五条  不可抗力的处理</w:t>
      </w:r>
    </w:p>
    <w:p w14:paraId="069B248A">
      <w:pPr>
        <w:widowControl/>
        <w:spacing w:line="520" w:lineRule="exact"/>
        <w:ind w:firstLine="480" w:firstLineChars="200"/>
        <w:rPr>
          <w:rFonts w:hint="eastAsia" w:ascii="宋体"/>
          <w:color w:val="auto"/>
          <w:szCs w:val="24"/>
        </w:rPr>
      </w:pPr>
      <w:r>
        <w:rPr>
          <w:rFonts w:hint="eastAsia" w:ascii="宋体"/>
          <w:color w:val="auto"/>
          <w:szCs w:val="24"/>
          <w:lang w:val="en-US" w:eastAsia="zh-CN"/>
        </w:rPr>
        <w:t xml:space="preserve">1. </w:t>
      </w:r>
      <w:r>
        <w:rPr>
          <w:rFonts w:hint="eastAsia" w:ascii="宋体"/>
          <w:color w:val="auto"/>
          <w:szCs w:val="24"/>
        </w:rPr>
        <w:t>由于不可抗力，致使合同不能全部或部分无法履行时，双方互不承担违约责任</w:t>
      </w:r>
      <w:r>
        <w:rPr>
          <w:rFonts w:hint="eastAsia" w:ascii="宋体"/>
          <w:color w:val="auto"/>
          <w:szCs w:val="24"/>
          <w:lang w:eastAsia="zh-CN"/>
        </w:rPr>
        <w:t>。</w:t>
      </w:r>
    </w:p>
    <w:p w14:paraId="4D1C8E5C">
      <w:pPr>
        <w:widowControl/>
        <w:spacing w:line="520" w:lineRule="exact"/>
        <w:ind w:firstLine="480" w:firstLineChars="200"/>
        <w:rPr>
          <w:rFonts w:ascii="宋体"/>
          <w:color w:val="auto"/>
          <w:szCs w:val="24"/>
        </w:rPr>
      </w:pPr>
      <w:r>
        <w:rPr>
          <w:rFonts w:hint="eastAsia" w:cs="Times New Roman"/>
          <w:bCs/>
          <w:sz w:val="24"/>
          <w:szCs w:val="24"/>
          <w:lang w:val="en-US" w:eastAsia="zh-CN"/>
        </w:rPr>
        <w:t xml:space="preserve">2. </w:t>
      </w:r>
      <w:r>
        <w:rPr>
          <w:rFonts w:hint="default" w:ascii="Times New Roman" w:hAnsi="Times New Roman" w:cs="Times New Roman"/>
          <w:bCs/>
          <w:sz w:val="24"/>
          <w:szCs w:val="24"/>
          <w:lang w:eastAsia="zh-CN"/>
        </w:rPr>
        <w:t>前款约定援引不可抗力条款的一方应在不可抗力发生后，采取积极措施避免损失的扩大，怠于采取措施一方应赔偿对方扩大的损失。出现不可抗力一方应及时通知另一方，最长不超过自不可抗力发生之日起10日内。如未通知的，则应承担对方因此造成扩大部分的损失。</w:t>
      </w:r>
    </w:p>
    <w:p w14:paraId="2665B45F">
      <w:pPr>
        <w:widowControl/>
        <w:spacing w:line="520" w:lineRule="exact"/>
        <w:ind w:firstLine="482" w:firstLineChars="200"/>
        <w:rPr>
          <w:rFonts w:ascii="宋体"/>
          <w:color w:val="auto"/>
          <w:szCs w:val="24"/>
        </w:rPr>
      </w:pPr>
      <w:r>
        <w:rPr>
          <w:rFonts w:hint="eastAsia" w:ascii="宋体"/>
          <w:b/>
          <w:color w:val="auto"/>
          <w:szCs w:val="24"/>
        </w:rPr>
        <w:t>第十六条  合同变更</w:t>
      </w:r>
      <w:r>
        <w:rPr>
          <w:rFonts w:hint="eastAsia" w:ascii="宋体"/>
          <w:color w:val="auto"/>
          <w:szCs w:val="24"/>
        </w:rPr>
        <w:t xml:space="preserve">  </w:t>
      </w:r>
    </w:p>
    <w:p w14:paraId="1D2C1313">
      <w:pPr>
        <w:widowControl/>
        <w:spacing w:line="520" w:lineRule="exact"/>
        <w:ind w:firstLine="480" w:firstLineChars="200"/>
        <w:rPr>
          <w:rFonts w:ascii="宋体"/>
          <w:color w:val="auto"/>
          <w:szCs w:val="24"/>
        </w:rPr>
      </w:pPr>
      <w:r>
        <w:rPr>
          <w:rFonts w:hint="eastAsia" w:ascii="宋体"/>
          <w:color w:val="auto"/>
          <w:szCs w:val="24"/>
        </w:rPr>
        <w:t>本合同履行期间，发生特殊情况时，甲、乙任何一方需要变更本合同的，要求变更的一方及时书面通知对方，征得对方同意后，双方签订书面变更协议，该协议将成为合同不可分割的部分。未经双方签订书面协议，任何一方无权变更合同，否则由此造成对方的一切经济损失，概由责任方承担。</w:t>
      </w:r>
    </w:p>
    <w:p w14:paraId="1231B7BD">
      <w:pPr>
        <w:widowControl/>
        <w:spacing w:line="520" w:lineRule="exact"/>
        <w:ind w:firstLine="482" w:firstLineChars="200"/>
        <w:rPr>
          <w:rFonts w:ascii="宋体"/>
          <w:color w:val="auto"/>
          <w:szCs w:val="24"/>
        </w:rPr>
      </w:pPr>
      <w:r>
        <w:rPr>
          <w:rFonts w:hint="eastAsia" w:ascii="宋体"/>
          <w:b/>
          <w:color w:val="auto"/>
          <w:szCs w:val="24"/>
        </w:rPr>
        <w:t>第十七条  补充协议</w:t>
      </w:r>
      <w:r>
        <w:rPr>
          <w:rFonts w:hint="eastAsia" w:ascii="宋体"/>
          <w:color w:val="auto"/>
          <w:szCs w:val="24"/>
        </w:rPr>
        <w:t xml:space="preserve"> </w:t>
      </w:r>
    </w:p>
    <w:p w14:paraId="0B948EE0">
      <w:pPr>
        <w:widowControl/>
        <w:spacing w:line="520" w:lineRule="exact"/>
        <w:ind w:firstLine="480" w:firstLineChars="200"/>
        <w:rPr>
          <w:rFonts w:ascii="宋体"/>
          <w:color w:val="auto"/>
          <w:szCs w:val="24"/>
        </w:rPr>
      </w:pPr>
      <w:r>
        <w:rPr>
          <w:rFonts w:hint="eastAsia" w:ascii="宋体"/>
          <w:color w:val="auto"/>
          <w:szCs w:val="24"/>
        </w:rPr>
        <w:t>本合同执行过程中的未尽事宜，双方本着实事求是、友好协商的原则解决。双方协商一致的，签订补充协议。补充协议与本合同具有同等效力。补充协议与本</w:t>
      </w:r>
      <w:r>
        <w:rPr>
          <w:rFonts w:hint="eastAsia" w:ascii="宋体"/>
          <w:color w:val="auto"/>
          <w:szCs w:val="24"/>
          <w:lang w:val="en-US" w:eastAsia="zh-CN"/>
        </w:rPr>
        <w:t>合同</w:t>
      </w:r>
      <w:r>
        <w:rPr>
          <w:rFonts w:hint="eastAsia" w:ascii="宋体"/>
          <w:color w:val="auto"/>
          <w:szCs w:val="24"/>
        </w:rPr>
        <w:t>约定不一致的，以补充协议为准。</w:t>
      </w:r>
    </w:p>
    <w:p w14:paraId="3BECCB68">
      <w:pPr>
        <w:widowControl/>
        <w:spacing w:line="520" w:lineRule="exact"/>
        <w:ind w:firstLine="482" w:firstLineChars="200"/>
        <w:rPr>
          <w:rFonts w:hint="eastAsia" w:ascii="宋体"/>
          <w:b/>
          <w:color w:val="auto"/>
          <w:szCs w:val="24"/>
        </w:rPr>
      </w:pPr>
    </w:p>
    <w:p w14:paraId="52139723">
      <w:pPr>
        <w:widowControl/>
        <w:spacing w:line="520" w:lineRule="exact"/>
        <w:ind w:firstLine="482" w:firstLineChars="200"/>
        <w:rPr>
          <w:rFonts w:ascii="宋体"/>
          <w:b/>
          <w:color w:val="auto"/>
          <w:szCs w:val="24"/>
        </w:rPr>
      </w:pPr>
      <w:r>
        <w:rPr>
          <w:rFonts w:hint="eastAsia" w:ascii="宋体"/>
          <w:b/>
          <w:color w:val="auto"/>
          <w:szCs w:val="24"/>
        </w:rPr>
        <w:t xml:space="preserve">第十八条 </w:t>
      </w:r>
      <w:r>
        <w:rPr>
          <w:rFonts w:hint="eastAsia" w:ascii="宋体"/>
          <w:color w:val="auto"/>
          <w:szCs w:val="24"/>
        </w:rPr>
        <w:t xml:space="preserve"> </w:t>
      </w:r>
      <w:r>
        <w:rPr>
          <w:rFonts w:hint="eastAsia" w:ascii="宋体"/>
          <w:b/>
          <w:color w:val="auto"/>
          <w:szCs w:val="24"/>
        </w:rPr>
        <w:t>争议的处理</w:t>
      </w:r>
    </w:p>
    <w:p w14:paraId="0E5676E8">
      <w:pPr>
        <w:widowControl/>
        <w:spacing w:line="520" w:lineRule="exact"/>
        <w:ind w:firstLine="480" w:firstLineChars="200"/>
        <w:rPr>
          <w:rFonts w:ascii="宋体"/>
          <w:color w:val="auto"/>
          <w:szCs w:val="24"/>
        </w:rPr>
      </w:pPr>
      <w:r>
        <w:rPr>
          <w:rFonts w:hint="eastAsia" w:ascii="宋体"/>
          <w:color w:val="auto"/>
          <w:szCs w:val="24"/>
        </w:rPr>
        <w:t>合同履行过程中发生的争议，由双方当事人协商解决，也可申请相关部门调解；不愿协商、调解或协商、调解不成的，</w:t>
      </w:r>
      <w:r>
        <w:rPr>
          <w:rFonts w:hint="eastAsia" w:ascii="宋体"/>
          <w:color w:val="auto"/>
          <w:szCs w:val="24"/>
          <w:lang w:val="en-US" w:eastAsia="zh-CN"/>
        </w:rPr>
        <w:t>任何一方可</w:t>
      </w:r>
      <w:r>
        <w:rPr>
          <w:rFonts w:hint="eastAsia" w:ascii="宋体"/>
          <w:color w:val="auto"/>
          <w:szCs w:val="24"/>
        </w:rPr>
        <w:t>向</w:t>
      </w:r>
      <w:r>
        <w:rPr>
          <w:rFonts w:hint="default" w:ascii="宋体"/>
          <w:color w:val="auto"/>
          <w:szCs w:val="24"/>
          <w:lang w:val="en-US"/>
        </w:rPr>
        <w:t>长宁县</w:t>
      </w:r>
      <w:r>
        <w:rPr>
          <w:rFonts w:hint="eastAsia" w:ascii="宋体"/>
          <w:color w:val="auto"/>
          <w:szCs w:val="24"/>
        </w:rPr>
        <w:t>人民法院提起诉讼。</w:t>
      </w:r>
    </w:p>
    <w:p w14:paraId="237FC670">
      <w:pPr>
        <w:widowControl/>
        <w:spacing w:line="520" w:lineRule="exact"/>
        <w:ind w:firstLine="482" w:firstLineChars="200"/>
        <w:rPr>
          <w:rFonts w:ascii="宋体"/>
          <w:color w:val="auto"/>
          <w:szCs w:val="24"/>
        </w:rPr>
      </w:pPr>
      <w:r>
        <w:rPr>
          <w:rFonts w:hint="eastAsia" w:ascii="宋体"/>
          <w:b/>
          <w:color w:val="auto"/>
          <w:szCs w:val="24"/>
        </w:rPr>
        <w:t>第十九条</w:t>
      </w:r>
      <w:r>
        <w:rPr>
          <w:rFonts w:hint="eastAsia" w:ascii="宋体"/>
          <w:color w:val="auto"/>
          <w:szCs w:val="24"/>
        </w:rPr>
        <w:t xml:space="preserve">  </w:t>
      </w:r>
      <w:r>
        <w:rPr>
          <w:rFonts w:hint="eastAsia" w:ascii="宋体"/>
          <w:b/>
          <w:color w:val="auto"/>
          <w:szCs w:val="24"/>
        </w:rPr>
        <w:t>其他约定</w:t>
      </w:r>
    </w:p>
    <w:p w14:paraId="2C2CE6D1">
      <w:pPr>
        <w:widowControl/>
        <w:spacing w:line="520" w:lineRule="exact"/>
        <w:ind w:firstLine="480" w:firstLineChars="200"/>
        <w:rPr>
          <w:rFonts w:ascii="宋体"/>
          <w:color w:val="auto"/>
          <w:szCs w:val="24"/>
        </w:rPr>
      </w:pPr>
      <w:r>
        <w:rPr>
          <w:rFonts w:hint="eastAsia" w:ascii="宋体"/>
          <w:color w:val="auto"/>
          <w:szCs w:val="24"/>
        </w:rPr>
        <w:t>无。</w:t>
      </w:r>
    </w:p>
    <w:p w14:paraId="649746CD">
      <w:pPr>
        <w:widowControl/>
        <w:spacing w:line="520" w:lineRule="exact"/>
        <w:ind w:firstLine="482" w:firstLineChars="200"/>
        <w:rPr>
          <w:rFonts w:ascii="宋体"/>
          <w:color w:val="auto"/>
          <w:szCs w:val="24"/>
        </w:rPr>
      </w:pPr>
      <w:r>
        <w:rPr>
          <w:rFonts w:hint="eastAsia" w:ascii="宋体"/>
          <w:b/>
          <w:color w:val="auto"/>
          <w:szCs w:val="24"/>
        </w:rPr>
        <w:t xml:space="preserve">第二十条 </w:t>
      </w:r>
      <w:r>
        <w:rPr>
          <w:rFonts w:hint="eastAsia" w:ascii="宋体"/>
          <w:color w:val="auto"/>
          <w:szCs w:val="24"/>
        </w:rPr>
        <w:t xml:space="preserve"> </w:t>
      </w:r>
      <w:r>
        <w:rPr>
          <w:rFonts w:hint="eastAsia" w:ascii="宋体"/>
          <w:b/>
          <w:color w:val="auto"/>
          <w:szCs w:val="24"/>
        </w:rPr>
        <w:t>附则</w:t>
      </w:r>
      <w:r>
        <w:rPr>
          <w:rFonts w:hint="eastAsia" w:ascii="宋体"/>
          <w:color w:val="auto"/>
          <w:szCs w:val="24"/>
        </w:rPr>
        <w:t xml:space="preserve"> </w:t>
      </w:r>
    </w:p>
    <w:p w14:paraId="679C65B7">
      <w:pPr>
        <w:widowControl/>
        <w:spacing w:line="520" w:lineRule="exact"/>
        <w:ind w:firstLine="480" w:firstLineChars="200"/>
        <w:rPr>
          <w:rFonts w:ascii="宋体"/>
          <w:color w:val="auto"/>
          <w:szCs w:val="24"/>
        </w:rPr>
      </w:pPr>
      <w:r>
        <w:rPr>
          <w:rFonts w:hint="eastAsia" w:ascii="宋体"/>
          <w:color w:val="auto"/>
          <w:szCs w:val="24"/>
        </w:rPr>
        <w:t xml:space="preserve">1. 本合同由双方法定代表人或授权代理人签字，加盖双方公章或合同专用章即生效。全部成果交接完毕和服务费用结算完成后，本合同终止。 </w:t>
      </w:r>
    </w:p>
    <w:p w14:paraId="25B95446">
      <w:pPr>
        <w:widowControl/>
        <w:spacing w:line="520" w:lineRule="exact"/>
        <w:ind w:firstLine="480" w:firstLineChars="200"/>
        <w:rPr>
          <w:rFonts w:hint="eastAsia" w:ascii="宋体"/>
          <w:color w:val="auto"/>
          <w:szCs w:val="24"/>
        </w:rPr>
      </w:pPr>
      <w:r>
        <w:rPr>
          <w:rFonts w:hint="eastAsia" w:ascii="宋体"/>
          <w:color w:val="auto"/>
          <w:szCs w:val="24"/>
        </w:rPr>
        <w:t xml:space="preserve">2. 本合同壹式陆份，甲方肆份，乙方贰份，具有同等法律效力。 </w:t>
      </w:r>
    </w:p>
    <w:p w14:paraId="5E8281C0">
      <w:pPr>
        <w:widowControl/>
        <w:spacing w:line="520" w:lineRule="exact"/>
        <w:ind w:firstLine="480" w:firstLineChars="200"/>
        <w:rPr>
          <w:rFonts w:hint="default" w:ascii="宋体" w:eastAsia="宋体"/>
          <w:color w:val="auto"/>
          <w:szCs w:val="24"/>
          <w:lang w:val="en-US" w:eastAsia="zh-CN"/>
        </w:rPr>
      </w:pPr>
      <w:r>
        <w:rPr>
          <w:rFonts w:hint="eastAsia" w:ascii="宋体"/>
          <w:color w:val="auto"/>
          <w:szCs w:val="24"/>
          <w:lang w:val="en-US" w:eastAsia="zh-CN"/>
        </w:rPr>
        <w:t>3.本合同中所列电话、地址为甲乙双方确认的送达地址（包括但不限于各类告知书、通知书、工作联系单、协议文件、诉讼或仲裁文书等）。甲乙双方确认以邮政送达或电子邮箱送达为送达方式，自邮政送达回执日期或电子邮件到达对方邮箱之日为送达日期。一方拒收的，以邮政送达发出之日的第三日为送达日。任何一方变更时，应在变更时及时书面通知对方，因变更方未及时通知对方的，自邮政快递退回之日或电子邮件发出日即视为送达。</w:t>
      </w:r>
    </w:p>
    <w:p w14:paraId="129C70FC">
      <w:pPr>
        <w:widowControl/>
        <w:spacing w:line="520" w:lineRule="exact"/>
        <w:ind w:firstLine="480" w:firstLineChars="200"/>
        <w:rPr>
          <w:rFonts w:ascii="宋体"/>
          <w:color w:val="auto"/>
          <w:szCs w:val="24"/>
        </w:rPr>
      </w:pPr>
      <w:r>
        <w:rPr>
          <w:rFonts w:hint="eastAsia" w:ascii="宋体"/>
          <w:color w:val="auto"/>
          <w:szCs w:val="24"/>
        </w:rPr>
        <w:t>（</w:t>
      </w:r>
      <w:r>
        <w:rPr>
          <w:rFonts w:hint="eastAsia" w:ascii="宋体"/>
          <w:color w:val="auto"/>
          <w:szCs w:val="24"/>
          <w:lang w:val="en-US" w:eastAsia="zh-CN"/>
        </w:rPr>
        <w:t>以下</w:t>
      </w:r>
      <w:r>
        <w:rPr>
          <w:rFonts w:hint="eastAsia" w:ascii="宋体"/>
          <w:color w:val="auto"/>
          <w:szCs w:val="24"/>
        </w:rPr>
        <w:t>为签署页，本页无正文）</w:t>
      </w:r>
    </w:p>
    <w:p w14:paraId="4C01E0E5">
      <w:pPr>
        <w:widowControl/>
        <w:spacing w:line="520" w:lineRule="exact"/>
        <w:rPr>
          <w:rFonts w:ascii="宋体"/>
          <w:color w:val="auto"/>
          <w:szCs w:val="24"/>
        </w:rPr>
      </w:pPr>
    </w:p>
    <w:p w14:paraId="5AC3E20B">
      <w:pPr>
        <w:widowControl/>
        <w:spacing w:line="520" w:lineRule="exact"/>
        <w:rPr>
          <w:rFonts w:ascii="宋体"/>
          <w:color w:val="auto"/>
          <w:szCs w:val="24"/>
        </w:rPr>
      </w:pPr>
    </w:p>
    <w:p w14:paraId="6B119578">
      <w:pPr>
        <w:widowControl/>
        <w:spacing w:line="520" w:lineRule="exact"/>
        <w:rPr>
          <w:rFonts w:ascii="宋体"/>
          <w:color w:val="auto"/>
          <w:szCs w:val="24"/>
        </w:rPr>
      </w:pPr>
    </w:p>
    <w:tbl>
      <w:tblPr>
        <w:tblStyle w:val="21"/>
        <w:tblW w:w="0" w:type="auto"/>
        <w:tblInd w:w="0" w:type="dxa"/>
        <w:tblLayout w:type="fixed"/>
        <w:tblCellMar>
          <w:top w:w="0" w:type="dxa"/>
          <w:left w:w="108" w:type="dxa"/>
          <w:bottom w:w="0" w:type="dxa"/>
          <w:right w:w="108" w:type="dxa"/>
        </w:tblCellMar>
      </w:tblPr>
      <w:tblGrid>
        <w:gridCol w:w="4577"/>
        <w:gridCol w:w="4711"/>
      </w:tblGrid>
      <w:tr w14:paraId="1BE2C6E9">
        <w:tblPrEx>
          <w:tblCellMar>
            <w:top w:w="0" w:type="dxa"/>
            <w:left w:w="108" w:type="dxa"/>
            <w:bottom w:w="0" w:type="dxa"/>
            <w:right w:w="108" w:type="dxa"/>
          </w:tblCellMar>
        </w:tblPrEx>
        <w:trPr>
          <w:trHeight w:val="963" w:hRule="atLeast"/>
        </w:trPr>
        <w:tc>
          <w:tcPr>
            <w:tcW w:w="4577" w:type="dxa"/>
            <w:tcBorders>
              <w:top w:val="nil"/>
              <w:left w:val="nil"/>
              <w:bottom w:val="nil"/>
              <w:right w:val="nil"/>
            </w:tcBorders>
          </w:tcPr>
          <w:p w14:paraId="4B55634E">
            <w:pPr>
              <w:spacing w:afterLines="50" w:line="530" w:lineRule="exact"/>
              <w:rPr>
                <w:rFonts w:ascii="宋体" w:cs="宋体"/>
                <w:color w:val="auto"/>
                <w:szCs w:val="24"/>
                <w:u w:val="single"/>
              </w:rPr>
            </w:pPr>
            <w:r>
              <w:rPr>
                <w:rFonts w:hint="eastAsia" w:ascii="宋体" w:cs="宋体"/>
                <w:bCs/>
                <w:color w:val="auto"/>
                <w:szCs w:val="24"/>
              </w:rPr>
              <w:t xml:space="preserve">发包人： </w:t>
            </w:r>
            <w:r>
              <w:rPr>
                <w:rFonts w:hint="eastAsia" w:ascii="宋体"/>
                <w:color w:val="auto"/>
                <w:spacing w:val="-16"/>
                <w:szCs w:val="24"/>
                <w:u w:val="single"/>
              </w:rPr>
              <w:t xml:space="preserve">四川宜叙高速公路开发有限责任公司  </w:t>
            </w:r>
          </w:p>
          <w:p w14:paraId="47C77C9D">
            <w:pPr>
              <w:spacing w:afterLines="50" w:line="530" w:lineRule="exact"/>
              <w:rPr>
                <w:rFonts w:ascii="宋体" w:cs="宋体"/>
                <w:color w:val="auto"/>
                <w:szCs w:val="24"/>
                <w:u w:val="single"/>
              </w:rPr>
            </w:pPr>
            <w:r>
              <w:rPr>
                <w:rFonts w:hint="eastAsia" w:ascii="宋体" w:cs="宋体"/>
                <w:bCs/>
                <w:color w:val="auto"/>
                <w:szCs w:val="24"/>
              </w:rPr>
              <w:t>法定代表人(</w:t>
            </w:r>
            <w:r>
              <w:rPr>
                <w:rFonts w:hint="eastAsia" w:ascii="宋体" w:cs="宋体"/>
                <w:bCs/>
                <w:color w:val="auto"/>
                <w:szCs w:val="24"/>
                <w:lang w:val="en-US" w:eastAsia="zh-CN"/>
              </w:rPr>
              <w:t>委托代理人</w:t>
            </w:r>
            <w:r>
              <w:rPr>
                <w:rFonts w:hint="eastAsia" w:ascii="宋体" w:cs="宋体"/>
                <w:bCs/>
                <w:color w:val="auto"/>
                <w:szCs w:val="24"/>
              </w:rPr>
              <w:t>)：</w:t>
            </w:r>
            <w:r>
              <w:rPr>
                <w:rFonts w:hint="eastAsia" w:ascii="宋体" w:cs="宋体"/>
                <w:color w:val="auto"/>
                <w:szCs w:val="24"/>
                <w:u w:val="single"/>
              </w:rPr>
              <w:t xml:space="preserve">                    </w:t>
            </w:r>
          </w:p>
          <w:p w14:paraId="2114DDCF">
            <w:pPr>
              <w:spacing w:afterLines="50" w:line="530" w:lineRule="exact"/>
              <w:rPr>
                <w:rFonts w:ascii="宋体" w:cs="宋体"/>
                <w:color w:val="auto"/>
                <w:szCs w:val="24"/>
                <w:u w:val="single"/>
              </w:rPr>
            </w:pPr>
            <w:r>
              <w:rPr>
                <w:rFonts w:hint="eastAsia" w:ascii="宋体" w:cs="宋体"/>
                <w:bCs/>
                <w:color w:val="auto"/>
                <w:szCs w:val="24"/>
              </w:rPr>
              <w:t>地  址：</w:t>
            </w:r>
            <w:r>
              <w:rPr>
                <w:rFonts w:hint="eastAsia" w:ascii="宋体" w:cs="宋体"/>
                <w:color w:val="auto"/>
                <w:szCs w:val="24"/>
                <w:u w:val="single"/>
              </w:rPr>
              <w:t xml:space="preserve">                                    </w:t>
            </w:r>
          </w:p>
          <w:p w14:paraId="27D51115">
            <w:pPr>
              <w:spacing w:afterLines="50" w:line="530" w:lineRule="exact"/>
              <w:rPr>
                <w:rFonts w:ascii="宋体" w:cs="宋体"/>
                <w:color w:val="auto"/>
                <w:szCs w:val="24"/>
                <w:u w:val="single"/>
              </w:rPr>
            </w:pPr>
            <w:r>
              <w:rPr>
                <w:rFonts w:hint="eastAsia" w:ascii="宋体" w:cs="宋体"/>
                <w:bCs/>
                <w:color w:val="auto"/>
                <w:szCs w:val="24"/>
              </w:rPr>
              <w:t>邮政编码：</w:t>
            </w:r>
            <w:r>
              <w:rPr>
                <w:rFonts w:hint="eastAsia" w:ascii="宋体" w:cs="宋体"/>
                <w:color w:val="auto"/>
                <w:szCs w:val="24"/>
                <w:u w:val="single"/>
              </w:rPr>
              <w:t xml:space="preserve">                                </w:t>
            </w:r>
          </w:p>
          <w:p w14:paraId="2D9E2D7E">
            <w:pPr>
              <w:spacing w:afterLines="50" w:line="530" w:lineRule="exact"/>
              <w:rPr>
                <w:rFonts w:ascii="宋体" w:cs="宋体"/>
                <w:color w:val="auto"/>
                <w:szCs w:val="24"/>
                <w:u w:val="single"/>
              </w:rPr>
            </w:pPr>
            <w:r>
              <w:rPr>
                <w:rFonts w:hint="eastAsia" w:ascii="宋体" w:cs="宋体"/>
                <w:bCs/>
                <w:color w:val="auto"/>
                <w:szCs w:val="24"/>
              </w:rPr>
              <w:t>联系人：</w:t>
            </w:r>
            <w:r>
              <w:rPr>
                <w:rFonts w:hint="eastAsia" w:ascii="宋体" w:cs="宋体"/>
                <w:color w:val="auto"/>
                <w:szCs w:val="24"/>
                <w:u w:val="single"/>
              </w:rPr>
              <w:t xml:space="preserve">                                   </w:t>
            </w:r>
          </w:p>
          <w:p w14:paraId="06C3EB8B">
            <w:pPr>
              <w:spacing w:afterLines="50" w:line="530" w:lineRule="exact"/>
              <w:rPr>
                <w:rFonts w:ascii="宋体" w:cs="宋体"/>
                <w:color w:val="auto"/>
                <w:szCs w:val="24"/>
                <w:u w:val="single"/>
              </w:rPr>
            </w:pPr>
            <w:r>
              <w:rPr>
                <w:rFonts w:hint="eastAsia" w:ascii="宋体" w:cs="宋体"/>
                <w:bCs/>
                <w:color w:val="auto"/>
                <w:szCs w:val="24"/>
              </w:rPr>
              <w:t>电　话：</w:t>
            </w:r>
            <w:r>
              <w:rPr>
                <w:rFonts w:hint="eastAsia" w:ascii="宋体" w:cs="宋体"/>
                <w:color w:val="auto"/>
                <w:szCs w:val="24"/>
                <w:u w:val="single"/>
              </w:rPr>
              <w:t xml:space="preserve">                               </w:t>
            </w:r>
          </w:p>
          <w:p w14:paraId="719CD8EC">
            <w:pPr>
              <w:spacing w:afterLines="50" w:line="530" w:lineRule="exact"/>
              <w:rPr>
                <w:rFonts w:ascii="宋体" w:cs="宋体"/>
                <w:color w:val="auto"/>
                <w:szCs w:val="24"/>
                <w:u w:val="single"/>
              </w:rPr>
            </w:pPr>
            <w:r>
              <w:rPr>
                <w:rFonts w:hint="eastAsia" w:ascii="宋体" w:cs="宋体"/>
                <w:bCs/>
                <w:color w:val="auto"/>
                <w:szCs w:val="24"/>
              </w:rPr>
              <w:t>开户银行：</w:t>
            </w:r>
            <w:r>
              <w:rPr>
                <w:rFonts w:hint="eastAsia" w:ascii="宋体" w:cs="宋体"/>
                <w:color w:val="auto"/>
                <w:szCs w:val="24"/>
                <w:u w:val="single"/>
              </w:rPr>
              <w:t xml:space="preserve">                          </w:t>
            </w:r>
          </w:p>
          <w:p w14:paraId="11223D52">
            <w:pPr>
              <w:spacing w:afterLines="50" w:line="530" w:lineRule="exact"/>
              <w:rPr>
                <w:rFonts w:ascii="宋体" w:cs="宋体"/>
                <w:color w:val="auto"/>
                <w:szCs w:val="24"/>
                <w:u w:val="single"/>
              </w:rPr>
            </w:pPr>
            <w:r>
              <w:rPr>
                <w:rFonts w:hint="eastAsia" w:ascii="宋体" w:cs="宋体"/>
                <w:bCs/>
                <w:color w:val="auto"/>
                <w:szCs w:val="24"/>
              </w:rPr>
              <w:t>账号:</w:t>
            </w:r>
            <w:r>
              <w:rPr>
                <w:rFonts w:hint="eastAsia" w:ascii="宋体" w:cs="宋体"/>
                <w:color w:val="auto"/>
                <w:szCs w:val="24"/>
                <w:u w:val="single"/>
              </w:rPr>
              <w:t xml:space="preserve">                               </w:t>
            </w:r>
          </w:p>
          <w:p w14:paraId="1BE3E352">
            <w:pPr>
              <w:spacing w:afterLines="50"/>
              <w:rPr>
                <w:rFonts w:ascii="宋体" w:hAnsi="宋体"/>
                <w:color w:val="auto"/>
                <w:szCs w:val="24"/>
                <w:u w:val="single"/>
              </w:rPr>
            </w:pPr>
            <w:r>
              <w:rPr>
                <w:rFonts w:hint="eastAsia" w:ascii="宋体" w:hAnsi="宋体" w:cs="宋体"/>
                <w:color w:val="auto"/>
                <w:szCs w:val="24"/>
              </w:rPr>
              <w:t>签订地点：</w:t>
            </w:r>
            <w:r>
              <w:rPr>
                <w:rFonts w:hint="eastAsia" w:ascii="宋体" w:hAnsi="宋体"/>
                <w:color w:val="auto"/>
                <w:szCs w:val="24"/>
                <w:u w:val="single"/>
              </w:rPr>
              <w:t xml:space="preserve">                         </w:t>
            </w:r>
          </w:p>
          <w:p w14:paraId="0F955F96">
            <w:pPr>
              <w:spacing w:afterLines="50"/>
              <w:rPr>
                <w:rFonts w:ascii="宋体" w:hAnsi="宋体"/>
                <w:color w:val="auto"/>
                <w:szCs w:val="24"/>
              </w:rPr>
            </w:pPr>
          </w:p>
          <w:p w14:paraId="027BD59D">
            <w:pPr>
              <w:spacing w:afterLines="50"/>
              <w:rPr>
                <w:rFonts w:ascii="宋体" w:hAnsi="宋体"/>
                <w:color w:val="auto"/>
                <w:szCs w:val="24"/>
              </w:rPr>
            </w:pPr>
            <w:r>
              <w:rPr>
                <w:rFonts w:hint="eastAsia" w:ascii="宋体" w:hAnsi="宋体"/>
                <w:color w:val="auto"/>
                <w:szCs w:val="24"/>
              </w:rPr>
              <w:t>签订时间：</w:t>
            </w:r>
            <w:r>
              <w:rPr>
                <w:rFonts w:hint="eastAsia" w:ascii="宋体" w:hAnsi="宋体"/>
                <w:color w:val="auto"/>
                <w:szCs w:val="24"/>
                <w:u w:val="single"/>
              </w:rPr>
              <w:t xml:space="preserve">       年      月      日</w:t>
            </w:r>
          </w:p>
          <w:p w14:paraId="17D15DAE">
            <w:pPr>
              <w:spacing w:afterLines="50" w:line="530" w:lineRule="exact"/>
              <w:jc w:val="center"/>
              <w:rPr>
                <w:rFonts w:ascii="宋体" w:cs="宋体"/>
                <w:color w:val="auto"/>
                <w:szCs w:val="24"/>
              </w:rPr>
            </w:pPr>
            <w:r>
              <w:rPr>
                <w:rFonts w:hint="eastAsia" w:ascii="宋体" w:cs="宋体"/>
                <w:color w:val="auto"/>
                <w:szCs w:val="24"/>
              </w:rPr>
              <w:t xml:space="preserve">       </w:t>
            </w:r>
          </w:p>
        </w:tc>
        <w:tc>
          <w:tcPr>
            <w:tcW w:w="4711" w:type="dxa"/>
            <w:tcBorders>
              <w:top w:val="nil"/>
              <w:left w:val="nil"/>
              <w:bottom w:val="nil"/>
              <w:right w:val="nil"/>
            </w:tcBorders>
          </w:tcPr>
          <w:p w14:paraId="26DB46E6">
            <w:pPr>
              <w:widowControl/>
              <w:spacing w:afterLines="50" w:line="530" w:lineRule="exact"/>
              <w:rPr>
                <w:rFonts w:ascii="宋体" w:cs="宋体"/>
                <w:color w:val="auto"/>
                <w:szCs w:val="24"/>
                <w:u w:val="single"/>
              </w:rPr>
            </w:pPr>
            <w:r>
              <w:rPr>
                <w:rFonts w:hint="eastAsia" w:ascii="宋体" w:cs="宋体"/>
                <w:bCs/>
                <w:color w:val="auto"/>
                <w:szCs w:val="24"/>
              </w:rPr>
              <w:t>承包人：</w:t>
            </w:r>
            <w:r>
              <w:rPr>
                <w:rFonts w:hint="eastAsia" w:ascii="宋体" w:cs="宋体"/>
                <w:color w:val="auto"/>
                <w:szCs w:val="24"/>
                <w:u w:val="single"/>
              </w:rPr>
              <w:t xml:space="preserve">                               </w:t>
            </w:r>
          </w:p>
          <w:p w14:paraId="5B937502">
            <w:pPr>
              <w:widowControl/>
              <w:spacing w:afterLines="50" w:line="530" w:lineRule="exact"/>
              <w:rPr>
                <w:rFonts w:ascii="宋体" w:cs="宋体"/>
                <w:color w:val="auto"/>
                <w:szCs w:val="24"/>
              </w:rPr>
            </w:pPr>
            <w:r>
              <w:rPr>
                <w:rFonts w:hint="eastAsia" w:ascii="宋体" w:cs="宋体"/>
                <w:bCs/>
                <w:color w:val="auto"/>
                <w:szCs w:val="24"/>
              </w:rPr>
              <w:t>法定代表人(</w:t>
            </w:r>
            <w:r>
              <w:rPr>
                <w:rFonts w:hint="eastAsia" w:ascii="宋体" w:cs="宋体"/>
                <w:bCs/>
                <w:color w:val="auto"/>
                <w:szCs w:val="24"/>
                <w:lang w:val="en-US" w:eastAsia="zh-CN"/>
              </w:rPr>
              <w:t>委托代理人</w:t>
            </w:r>
            <w:r>
              <w:rPr>
                <w:rFonts w:hint="eastAsia" w:ascii="宋体" w:cs="宋体"/>
                <w:bCs/>
                <w:color w:val="auto"/>
                <w:szCs w:val="24"/>
              </w:rPr>
              <w:t>)：</w:t>
            </w:r>
            <w:r>
              <w:rPr>
                <w:rFonts w:hint="eastAsia" w:ascii="宋体" w:cs="宋体"/>
                <w:color w:val="auto"/>
                <w:szCs w:val="24"/>
                <w:u w:val="single"/>
              </w:rPr>
              <w:t xml:space="preserve">      　               </w:t>
            </w:r>
            <w:r>
              <w:rPr>
                <w:rFonts w:hint="eastAsia" w:ascii="宋体" w:cs="宋体"/>
                <w:color w:val="auto"/>
                <w:szCs w:val="24"/>
              </w:rPr>
              <w:t xml:space="preserve">     </w:t>
            </w:r>
          </w:p>
          <w:p w14:paraId="19289C9E">
            <w:pPr>
              <w:widowControl/>
              <w:spacing w:afterLines="50" w:line="530" w:lineRule="exact"/>
              <w:rPr>
                <w:rFonts w:ascii="宋体" w:cs="宋体"/>
                <w:color w:val="auto"/>
                <w:szCs w:val="24"/>
                <w:u w:val="single"/>
              </w:rPr>
            </w:pPr>
            <w:r>
              <w:rPr>
                <w:rFonts w:hint="eastAsia" w:ascii="宋体" w:cs="宋体"/>
                <w:bCs/>
                <w:color w:val="auto"/>
                <w:szCs w:val="24"/>
              </w:rPr>
              <w:t>地  址：</w:t>
            </w:r>
            <w:r>
              <w:rPr>
                <w:rFonts w:hint="eastAsia" w:ascii="宋体" w:cs="宋体"/>
                <w:color w:val="auto"/>
                <w:szCs w:val="24"/>
                <w:u w:val="single"/>
              </w:rPr>
              <w:t xml:space="preserve">                              </w:t>
            </w:r>
          </w:p>
          <w:p w14:paraId="091A6212">
            <w:pPr>
              <w:widowControl/>
              <w:spacing w:afterLines="50" w:line="530" w:lineRule="exact"/>
              <w:rPr>
                <w:rFonts w:ascii="宋体" w:cs="宋体"/>
                <w:color w:val="auto"/>
                <w:szCs w:val="24"/>
                <w:u w:val="single"/>
              </w:rPr>
            </w:pPr>
            <w:r>
              <w:rPr>
                <w:rFonts w:hint="eastAsia" w:ascii="宋体" w:cs="宋体"/>
                <w:bCs/>
                <w:color w:val="auto"/>
                <w:szCs w:val="24"/>
              </w:rPr>
              <w:t>邮政编码：</w:t>
            </w:r>
            <w:r>
              <w:rPr>
                <w:rFonts w:hint="eastAsia" w:ascii="宋体" w:cs="宋体"/>
                <w:color w:val="auto"/>
                <w:szCs w:val="24"/>
                <w:u w:val="single"/>
              </w:rPr>
              <w:t xml:space="preserve">                                      </w:t>
            </w:r>
          </w:p>
          <w:p w14:paraId="5E7CC628">
            <w:pPr>
              <w:widowControl/>
              <w:spacing w:afterLines="50" w:line="530" w:lineRule="exact"/>
              <w:rPr>
                <w:rFonts w:ascii="宋体" w:cs="宋体"/>
                <w:color w:val="auto"/>
                <w:szCs w:val="24"/>
                <w:u w:val="single"/>
              </w:rPr>
            </w:pPr>
            <w:r>
              <w:rPr>
                <w:rFonts w:hint="eastAsia" w:ascii="宋体" w:cs="宋体"/>
                <w:bCs/>
                <w:color w:val="auto"/>
                <w:szCs w:val="24"/>
              </w:rPr>
              <w:t>联系人：</w:t>
            </w:r>
            <w:r>
              <w:rPr>
                <w:rFonts w:hint="eastAsia" w:ascii="宋体" w:cs="宋体"/>
                <w:color w:val="auto"/>
                <w:szCs w:val="24"/>
                <w:u w:val="single"/>
              </w:rPr>
              <w:t xml:space="preserve">                                           </w:t>
            </w:r>
          </w:p>
          <w:p w14:paraId="622A65B2">
            <w:pPr>
              <w:widowControl/>
              <w:spacing w:afterLines="50" w:line="530" w:lineRule="exact"/>
              <w:rPr>
                <w:rFonts w:ascii="宋体" w:cs="宋体"/>
                <w:color w:val="auto"/>
                <w:szCs w:val="24"/>
                <w:u w:val="single"/>
              </w:rPr>
            </w:pPr>
            <w:r>
              <w:rPr>
                <w:rFonts w:hint="eastAsia" w:ascii="宋体" w:cs="宋体"/>
                <w:bCs/>
                <w:color w:val="auto"/>
                <w:szCs w:val="24"/>
              </w:rPr>
              <w:t>电　话：</w:t>
            </w:r>
            <w:r>
              <w:rPr>
                <w:rFonts w:hint="eastAsia" w:ascii="宋体" w:cs="宋体"/>
                <w:color w:val="auto"/>
                <w:szCs w:val="24"/>
                <w:u w:val="single"/>
              </w:rPr>
              <w:t xml:space="preserve">                                      </w:t>
            </w:r>
          </w:p>
          <w:p w14:paraId="2E3F5E96">
            <w:pPr>
              <w:widowControl/>
              <w:spacing w:afterLines="50" w:line="530" w:lineRule="exact"/>
              <w:ind w:left="5940" w:hanging="5940" w:hangingChars="2475"/>
              <w:rPr>
                <w:rFonts w:ascii="宋体" w:cs="宋体"/>
                <w:color w:val="auto"/>
                <w:szCs w:val="24"/>
                <w:u w:val="single"/>
              </w:rPr>
            </w:pPr>
            <w:r>
              <w:rPr>
                <w:rFonts w:hint="eastAsia" w:ascii="宋体" w:cs="宋体"/>
                <w:bCs/>
                <w:color w:val="auto"/>
                <w:szCs w:val="24"/>
              </w:rPr>
              <w:t>开户银行：</w:t>
            </w:r>
            <w:r>
              <w:rPr>
                <w:rFonts w:hint="eastAsia" w:ascii="宋体" w:cs="宋体"/>
                <w:color w:val="auto"/>
                <w:szCs w:val="24"/>
                <w:u w:val="single"/>
              </w:rPr>
              <w:t xml:space="preserve">                                       </w:t>
            </w:r>
          </w:p>
          <w:p w14:paraId="015036FF">
            <w:pPr>
              <w:spacing w:afterLines="50" w:line="530" w:lineRule="exact"/>
              <w:rPr>
                <w:rFonts w:ascii="宋体" w:cs="宋体"/>
                <w:color w:val="auto"/>
                <w:szCs w:val="24"/>
                <w:u w:val="single"/>
              </w:rPr>
            </w:pPr>
            <w:r>
              <w:rPr>
                <w:rFonts w:hint="eastAsia" w:ascii="宋体" w:cs="宋体"/>
                <w:bCs/>
                <w:color w:val="auto"/>
                <w:szCs w:val="24"/>
              </w:rPr>
              <w:t>账号：</w:t>
            </w:r>
            <w:r>
              <w:rPr>
                <w:rFonts w:hint="eastAsia" w:ascii="宋体" w:cs="宋体"/>
                <w:color w:val="auto"/>
                <w:szCs w:val="24"/>
                <w:u w:val="single"/>
              </w:rPr>
              <w:t xml:space="preserve">61870120000008293                      </w:t>
            </w:r>
          </w:p>
          <w:p w14:paraId="48C94141">
            <w:pPr>
              <w:spacing w:afterLines="50"/>
              <w:rPr>
                <w:rFonts w:ascii="宋体" w:hAnsi="宋体"/>
                <w:color w:val="auto"/>
                <w:szCs w:val="24"/>
                <w:u w:val="single"/>
              </w:rPr>
            </w:pPr>
            <w:r>
              <w:rPr>
                <w:rFonts w:hint="eastAsia" w:ascii="宋体" w:hAnsi="宋体" w:cs="宋体"/>
                <w:color w:val="auto"/>
                <w:szCs w:val="24"/>
              </w:rPr>
              <w:t>签订地点：</w:t>
            </w:r>
            <w:r>
              <w:rPr>
                <w:rFonts w:hint="eastAsia" w:ascii="宋体" w:hAnsi="宋体"/>
                <w:color w:val="auto"/>
                <w:szCs w:val="24"/>
                <w:u w:val="single"/>
              </w:rPr>
              <w:t xml:space="preserve">                         </w:t>
            </w:r>
          </w:p>
          <w:p w14:paraId="4F704F2C">
            <w:pPr>
              <w:spacing w:afterLines="50"/>
              <w:rPr>
                <w:rFonts w:ascii="宋体" w:hAnsi="宋体"/>
                <w:color w:val="auto"/>
                <w:szCs w:val="24"/>
              </w:rPr>
            </w:pPr>
          </w:p>
          <w:p w14:paraId="20679604">
            <w:pPr>
              <w:spacing w:afterLines="50"/>
              <w:rPr>
                <w:rFonts w:ascii="宋体" w:hAnsi="宋体"/>
                <w:color w:val="auto"/>
                <w:szCs w:val="24"/>
              </w:rPr>
            </w:pPr>
            <w:r>
              <w:rPr>
                <w:rFonts w:hint="eastAsia" w:ascii="宋体" w:hAnsi="宋体"/>
                <w:color w:val="auto"/>
                <w:szCs w:val="24"/>
              </w:rPr>
              <w:t>签订时间：</w:t>
            </w:r>
            <w:r>
              <w:rPr>
                <w:rFonts w:hint="eastAsia" w:ascii="宋体" w:hAnsi="宋体"/>
                <w:color w:val="auto"/>
                <w:szCs w:val="24"/>
                <w:u w:val="single"/>
              </w:rPr>
              <w:t xml:space="preserve">       年      月      日</w:t>
            </w:r>
          </w:p>
          <w:p w14:paraId="08BC5FB9">
            <w:pPr>
              <w:spacing w:afterLines="50" w:line="530" w:lineRule="exact"/>
              <w:jc w:val="center"/>
              <w:rPr>
                <w:rFonts w:ascii="宋体" w:cs="宋体"/>
                <w:color w:val="auto"/>
                <w:szCs w:val="24"/>
              </w:rPr>
            </w:pPr>
            <w:r>
              <w:rPr>
                <w:rFonts w:hint="eastAsia" w:ascii="宋体" w:cs="宋体"/>
                <w:color w:val="auto"/>
                <w:szCs w:val="24"/>
              </w:rPr>
              <w:t xml:space="preserve">   </w:t>
            </w:r>
          </w:p>
        </w:tc>
      </w:tr>
    </w:tbl>
    <w:p w14:paraId="3F4B6D00">
      <w:pPr>
        <w:spacing w:line="360" w:lineRule="auto"/>
        <w:rPr>
          <w:rFonts w:ascii="宋体" w:hAnsi="宋体" w:cs="宋体"/>
          <w:color w:val="auto"/>
          <w:highlight w:val="none"/>
        </w:rPr>
      </w:pPr>
    </w:p>
    <w:p w14:paraId="037922BE">
      <w:pPr>
        <w:spacing w:line="360" w:lineRule="auto"/>
        <w:rPr>
          <w:rFonts w:ascii="宋体" w:hAnsi="宋体" w:cs="宋体"/>
          <w:color w:val="auto"/>
          <w:highlight w:val="none"/>
        </w:rPr>
      </w:pPr>
    </w:p>
    <w:p w14:paraId="3BF9FDA0">
      <w:pPr>
        <w:spacing w:line="360" w:lineRule="auto"/>
        <w:rPr>
          <w:rFonts w:ascii="宋体" w:hAnsi="宋体" w:cs="宋体"/>
          <w:color w:val="auto"/>
          <w:highlight w:val="none"/>
        </w:rPr>
      </w:pPr>
    </w:p>
    <w:p w14:paraId="4BCA41B1">
      <w:pPr>
        <w:spacing w:line="360" w:lineRule="auto"/>
        <w:rPr>
          <w:rFonts w:ascii="宋体" w:hAnsi="宋体" w:cs="宋体"/>
          <w:color w:val="auto"/>
          <w:highlight w:val="none"/>
        </w:rPr>
      </w:pPr>
    </w:p>
    <w:p w14:paraId="7195B747">
      <w:pPr>
        <w:spacing w:line="360" w:lineRule="auto"/>
        <w:rPr>
          <w:rFonts w:ascii="宋体" w:hAnsi="宋体" w:cs="宋体"/>
          <w:color w:val="auto"/>
          <w:highlight w:val="none"/>
        </w:rPr>
      </w:pPr>
    </w:p>
    <w:p w14:paraId="66BB0ECA">
      <w:pPr>
        <w:spacing w:line="360" w:lineRule="auto"/>
        <w:rPr>
          <w:rFonts w:ascii="宋体" w:hAnsi="宋体" w:cs="宋体"/>
          <w:color w:val="auto"/>
          <w:highlight w:val="none"/>
        </w:rPr>
      </w:pPr>
    </w:p>
    <w:p w14:paraId="5EB5F96B">
      <w:pPr>
        <w:spacing w:line="360" w:lineRule="auto"/>
        <w:rPr>
          <w:rFonts w:ascii="宋体" w:hAnsi="宋体" w:cs="宋体"/>
          <w:color w:val="auto"/>
          <w:highlight w:val="none"/>
        </w:rPr>
      </w:pPr>
    </w:p>
    <w:p w14:paraId="3B7401E3">
      <w:pPr>
        <w:spacing w:line="360" w:lineRule="auto"/>
        <w:rPr>
          <w:rFonts w:ascii="宋体" w:hAnsi="宋体" w:cs="宋体"/>
          <w:color w:val="auto"/>
          <w:highlight w:val="none"/>
        </w:rPr>
      </w:pPr>
    </w:p>
    <w:p w14:paraId="6A6273F8">
      <w:pPr>
        <w:spacing w:line="360" w:lineRule="auto"/>
        <w:rPr>
          <w:rFonts w:ascii="宋体" w:hAnsi="宋体" w:cs="宋体"/>
          <w:color w:val="auto"/>
          <w:highlight w:val="none"/>
        </w:rPr>
      </w:pPr>
    </w:p>
    <w:p w14:paraId="49494C0A">
      <w:pPr>
        <w:spacing w:line="360" w:lineRule="auto"/>
        <w:rPr>
          <w:rFonts w:ascii="宋体" w:hAnsi="宋体" w:cs="宋体"/>
          <w:color w:val="auto"/>
          <w:highlight w:val="none"/>
        </w:rPr>
      </w:pPr>
    </w:p>
    <w:p w14:paraId="7ABA89D0">
      <w:pPr>
        <w:spacing w:line="360" w:lineRule="auto"/>
        <w:rPr>
          <w:rFonts w:ascii="宋体" w:hAnsi="宋体" w:cs="宋体"/>
          <w:color w:val="auto"/>
          <w:highlight w:val="none"/>
        </w:rPr>
      </w:pPr>
    </w:p>
    <w:p w14:paraId="5452EDED">
      <w:pPr>
        <w:spacing w:line="360" w:lineRule="auto"/>
        <w:rPr>
          <w:rFonts w:ascii="宋体" w:hAnsi="宋体" w:cs="宋体"/>
          <w:color w:val="auto"/>
          <w:highlight w:val="none"/>
        </w:rPr>
      </w:pPr>
    </w:p>
    <w:p w14:paraId="454C25AF">
      <w:pPr>
        <w:spacing w:line="360" w:lineRule="auto"/>
        <w:rPr>
          <w:rFonts w:ascii="宋体" w:hAnsi="宋体" w:cs="宋体"/>
          <w:color w:val="auto"/>
          <w:highlight w:val="none"/>
        </w:rPr>
      </w:pPr>
    </w:p>
    <w:p w14:paraId="14F6B98D">
      <w:pPr>
        <w:spacing w:line="360" w:lineRule="auto"/>
        <w:rPr>
          <w:rFonts w:ascii="宋体" w:hAnsi="宋体" w:cs="宋体"/>
          <w:color w:val="auto"/>
          <w:highlight w:val="none"/>
        </w:rPr>
      </w:pPr>
    </w:p>
    <w:p w14:paraId="31B5FB88">
      <w:pPr>
        <w:spacing w:line="360" w:lineRule="auto"/>
        <w:rPr>
          <w:rFonts w:ascii="宋体" w:hAnsi="宋体" w:cs="宋体"/>
          <w:color w:val="auto"/>
          <w:highlight w:val="none"/>
        </w:rPr>
      </w:pPr>
    </w:p>
    <w:p w14:paraId="55A42914">
      <w:pPr>
        <w:spacing w:line="360" w:lineRule="auto"/>
        <w:rPr>
          <w:rFonts w:ascii="宋体" w:hAnsi="宋体" w:cs="宋体"/>
          <w:color w:val="auto"/>
          <w:highlight w:val="none"/>
        </w:rPr>
      </w:pPr>
    </w:p>
    <w:p w14:paraId="3D543E7D">
      <w:pPr>
        <w:spacing w:line="360" w:lineRule="auto"/>
        <w:rPr>
          <w:rFonts w:ascii="宋体" w:hAnsi="宋体" w:cs="宋体"/>
          <w:color w:val="auto"/>
          <w:highlight w:val="none"/>
        </w:rPr>
      </w:pPr>
    </w:p>
    <w:p w14:paraId="5FB36ABB">
      <w:pPr>
        <w:spacing w:line="360" w:lineRule="auto"/>
        <w:rPr>
          <w:rFonts w:ascii="宋体" w:hAnsi="宋体" w:cs="宋体"/>
          <w:color w:val="auto"/>
          <w:highlight w:val="none"/>
        </w:rPr>
      </w:pPr>
    </w:p>
    <w:p w14:paraId="01109B27">
      <w:pPr>
        <w:pStyle w:val="2"/>
        <w:spacing w:line="360" w:lineRule="auto"/>
        <w:jc w:val="center"/>
        <w:rPr>
          <w:rFonts w:cs="宋体"/>
          <w:color w:val="auto"/>
          <w:sz w:val="52"/>
          <w:highlight w:val="none"/>
        </w:rPr>
      </w:pPr>
      <w:bookmarkStart w:id="30" w:name="_Toc1490"/>
    </w:p>
    <w:p w14:paraId="57E5D691">
      <w:pPr>
        <w:pStyle w:val="2"/>
        <w:spacing w:line="360" w:lineRule="auto"/>
        <w:jc w:val="center"/>
        <w:rPr>
          <w:rFonts w:cs="宋体"/>
          <w:color w:val="auto"/>
          <w:sz w:val="52"/>
          <w:highlight w:val="none"/>
        </w:rPr>
      </w:pPr>
    </w:p>
    <w:p w14:paraId="51A76378">
      <w:pPr>
        <w:pStyle w:val="2"/>
        <w:spacing w:line="360" w:lineRule="auto"/>
        <w:jc w:val="center"/>
        <w:rPr>
          <w:rFonts w:cs="宋体"/>
          <w:color w:val="auto"/>
          <w:sz w:val="52"/>
          <w:highlight w:val="none"/>
        </w:rPr>
      </w:pPr>
    </w:p>
    <w:p w14:paraId="0DB72841">
      <w:pPr>
        <w:pStyle w:val="2"/>
        <w:spacing w:line="360" w:lineRule="auto"/>
        <w:ind w:left="0" w:leftChars="0" w:firstLine="0" w:firstLineChars="0"/>
        <w:jc w:val="both"/>
        <w:rPr>
          <w:rFonts w:cs="宋体"/>
          <w:color w:val="auto"/>
          <w:sz w:val="52"/>
          <w:highlight w:val="none"/>
        </w:rPr>
      </w:pPr>
    </w:p>
    <w:p w14:paraId="2C85CF1D">
      <w:pPr>
        <w:pStyle w:val="2"/>
        <w:spacing w:line="360" w:lineRule="auto"/>
        <w:ind w:left="0" w:leftChars="0" w:firstLine="0" w:firstLineChars="0"/>
        <w:jc w:val="center"/>
        <w:rPr>
          <w:rFonts w:cs="宋体"/>
          <w:color w:val="auto"/>
          <w:sz w:val="52"/>
          <w:highlight w:val="none"/>
        </w:rPr>
      </w:pPr>
    </w:p>
    <w:p w14:paraId="7A0489B9">
      <w:pPr>
        <w:pStyle w:val="2"/>
        <w:spacing w:line="360" w:lineRule="auto"/>
        <w:ind w:left="0" w:leftChars="0" w:firstLine="0" w:firstLineChars="0"/>
        <w:jc w:val="center"/>
        <w:rPr>
          <w:rFonts w:cs="宋体"/>
          <w:color w:val="auto"/>
          <w:sz w:val="52"/>
          <w:highlight w:val="none"/>
        </w:rPr>
      </w:pPr>
    </w:p>
    <w:p w14:paraId="01588217">
      <w:pPr>
        <w:pStyle w:val="2"/>
        <w:spacing w:line="360" w:lineRule="auto"/>
        <w:ind w:left="0" w:leftChars="0" w:firstLine="0" w:firstLineChars="0"/>
        <w:jc w:val="center"/>
        <w:rPr>
          <w:rFonts w:hint="default" w:cs="宋体"/>
          <w:b w:val="0"/>
          <w:color w:val="auto"/>
          <w:sz w:val="52"/>
          <w:highlight w:val="none"/>
        </w:rPr>
        <w:sectPr>
          <w:headerReference r:id="rId16" w:type="default"/>
          <w:footerReference r:id="rId17" w:type="default"/>
          <w:pgSz w:w="11900" w:h="16840"/>
          <w:pgMar w:top="1440" w:right="1080" w:bottom="1440" w:left="1080" w:header="881" w:footer="912" w:gutter="0"/>
          <w:cols w:space="720" w:num="1"/>
        </w:sectPr>
      </w:pPr>
      <w:r>
        <w:rPr>
          <w:rFonts w:cs="宋体"/>
          <w:color w:val="auto"/>
          <w:sz w:val="52"/>
          <w:highlight w:val="none"/>
        </w:rPr>
        <w:t>第五章  比选文件格式</w:t>
      </w:r>
      <w:bookmarkEnd w:id="29"/>
      <w:bookmarkEnd w:id="30"/>
    </w:p>
    <w:p w14:paraId="3C445D21">
      <w:pPr>
        <w:spacing w:line="360" w:lineRule="auto"/>
        <w:rPr>
          <w:b/>
          <w:bCs/>
          <w:color w:val="auto"/>
          <w:sz w:val="36"/>
          <w:szCs w:val="36"/>
          <w:highlight w:val="none"/>
          <w:u w:val="single"/>
        </w:rPr>
      </w:pPr>
    </w:p>
    <w:p w14:paraId="4E2EFE62">
      <w:pPr>
        <w:spacing w:line="360" w:lineRule="auto"/>
        <w:rPr>
          <w:b/>
          <w:bCs/>
          <w:strike/>
          <w:color w:val="auto"/>
          <w:sz w:val="36"/>
          <w:szCs w:val="36"/>
          <w:highlight w:val="none"/>
        </w:rPr>
      </w:pPr>
      <w:r>
        <w:rPr>
          <w:b/>
          <w:bCs/>
          <w:color w:val="auto"/>
          <w:sz w:val="36"/>
          <w:szCs w:val="36"/>
          <w:highlight w:val="none"/>
          <w:u w:val="single"/>
        </w:rPr>
        <w:t xml:space="preserve">                      </w:t>
      </w:r>
      <w:bookmarkStart w:id="31" w:name="_Toc256695437"/>
      <w:bookmarkStart w:id="32" w:name="_Toc256691561"/>
      <w:r>
        <w:rPr>
          <w:b/>
          <w:bCs/>
          <w:color w:val="auto"/>
          <w:sz w:val="36"/>
          <w:szCs w:val="36"/>
          <w:highlight w:val="none"/>
        </w:rPr>
        <w:t>(项目名称)</w:t>
      </w:r>
      <w:bookmarkEnd w:id="31"/>
      <w:bookmarkEnd w:id="32"/>
    </w:p>
    <w:p w14:paraId="509390BF">
      <w:pPr>
        <w:spacing w:line="360" w:lineRule="auto"/>
        <w:jc w:val="center"/>
        <w:rPr>
          <w:rFonts w:eastAsia="Cambria"/>
          <w:color w:val="auto"/>
          <w:spacing w:val="-20"/>
          <w:sz w:val="52"/>
          <w:szCs w:val="52"/>
          <w:highlight w:val="none"/>
        </w:rPr>
      </w:pPr>
      <w:r>
        <w:rPr>
          <w:rFonts w:eastAsia="Cambria"/>
          <w:color w:val="auto"/>
          <w:spacing w:val="-20"/>
          <w:sz w:val="52"/>
          <w:szCs w:val="52"/>
          <w:highlight w:val="none"/>
        </w:rPr>
        <w:t xml:space="preserve">  </w:t>
      </w:r>
    </w:p>
    <w:p w14:paraId="0A102D84">
      <w:pPr>
        <w:spacing w:line="360" w:lineRule="auto"/>
        <w:jc w:val="center"/>
        <w:rPr>
          <w:rFonts w:eastAsia="Cambria"/>
          <w:color w:val="auto"/>
          <w:spacing w:val="-20"/>
          <w:sz w:val="52"/>
          <w:szCs w:val="52"/>
          <w:highlight w:val="none"/>
        </w:rPr>
      </w:pPr>
    </w:p>
    <w:p w14:paraId="49C5F072">
      <w:pPr>
        <w:spacing w:line="360" w:lineRule="auto"/>
        <w:jc w:val="both"/>
        <w:rPr>
          <w:rFonts w:eastAsia="Cambria"/>
          <w:color w:val="auto"/>
          <w:spacing w:val="-20"/>
          <w:sz w:val="52"/>
          <w:szCs w:val="52"/>
          <w:highlight w:val="none"/>
        </w:rPr>
      </w:pPr>
    </w:p>
    <w:p w14:paraId="0F57E77B">
      <w:pPr>
        <w:spacing w:line="360" w:lineRule="auto"/>
        <w:jc w:val="center"/>
        <w:rPr>
          <w:rFonts w:eastAsia="Cambria"/>
          <w:color w:val="auto"/>
          <w:spacing w:val="-20"/>
          <w:sz w:val="52"/>
          <w:szCs w:val="52"/>
          <w:highlight w:val="none"/>
        </w:rPr>
      </w:pPr>
    </w:p>
    <w:p w14:paraId="5F17CA7A">
      <w:pPr>
        <w:jc w:val="center"/>
        <w:rPr>
          <w:b/>
          <w:color w:val="auto"/>
          <w:spacing w:val="-20"/>
          <w:sz w:val="52"/>
          <w:szCs w:val="52"/>
          <w:highlight w:val="none"/>
        </w:rPr>
      </w:pPr>
      <w:bookmarkStart w:id="33" w:name="_Toc256695438"/>
      <w:bookmarkStart w:id="34" w:name="_Toc256691562"/>
      <w:r>
        <w:rPr>
          <w:rFonts w:hint="eastAsia"/>
          <w:b/>
          <w:color w:val="auto"/>
          <w:spacing w:val="-20"/>
          <w:sz w:val="52"/>
          <w:szCs w:val="52"/>
          <w:highlight w:val="none"/>
        </w:rPr>
        <w:t>公开招选</w:t>
      </w:r>
      <w:bookmarkEnd w:id="33"/>
      <w:bookmarkEnd w:id="34"/>
      <w:r>
        <w:rPr>
          <w:rFonts w:hint="eastAsia"/>
          <w:b/>
          <w:color w:val="auto"/>
          <w:spacing w:val="-20"/>
          <w:sz w:val="52"/>
          <w:szCs w:val="52"/>
          <w:highlight w:val="none"/>
        </w:rPr>
        <w:t>比选文件</w:t>
      </w:r>
    </w:p>
    <w:p w14:paraId="755ACB9E">
      <w:pPr>
        <w:jc w:val="center"/>
        <w:rPr>
          <w:color w:val="auto"/>
          <w:sz w:val="32"/>
          <w:szCs w:val="32"/>
          <w:highlight w:val="none"/>
        </w:rPr>
      </w:pPr>
    </w:p>
    <w:p w14:paraId="4D8FEB66">
      <w:pPr>
        <w:jc w:val="center"/>
        <w:rPr>
          <w:color w:val="auto"/>
          <w:sz w:val="52"/>
          <w:szCs w:val="52"/>
          <w:highlight w:val="none"/>
        </w:rPr>
      </w:pPr>
    </w:p>
    <w:p w14:paraId="702450DB">
      <w:pPr>
        <w:rPr>
          <w:color w:val="auto"/>
          <w:highlight w:val="none"/>
          <w:u w:val="single"/>
        </w:rPr>
      </w:pPr>
    </w:p>
    <w:p w14:paraId="28F3498A">
      <w:pPr>
        <w:rPr>
          <w:color w:val="auto"/>
          <w:highlight w:val="none"/>
          <w:u w:val="single"/>
        </w:rPr>
      </w:pPr>
    </w:p>
    <w:p w14:paraId="50BC60AA">
      <w:pPr>
        <w:rPr>
          <w:color w:val="auto"/>
          <w:highlight w:val="none"/>
          <w:u w:val="single"/>
        </w:rPr>
      </w:pPr>
    </w:p>
    <w:p w14:paraId="2C9CAB5B">
      <w:pPr>
        <w:rPr>
          <w:color w:val="auto"/>
          <w:highlight w:val="none"/>
          <w:u w:val="single"/>
        </w:rPr>
      </w:pPr>
    </w:p>
    <w:p w14:paraId="34A32CA6">
      <w:pPr>
        <w:rPr>
          <w:color w:val="auto"/>
          <w:highlight w:val="none"/>
          <w:u w:val="single"/>
        </w:rPr>
      </w:pPr>
    </w:p>
    <w:p w14:paraId="4A693E89">
      <w:pPr>
        <w:rPr>
          <w:color w:val="auto"/>
          <w:highlight w:val="none"/>
          <w:u w:val="single"/>
        </w:rPr>
      </w:pPr>
    </w:p>
    <w:p w14:paraId="7E953E87">
      <w:pPr>
        <w:rPr>
          <w:color w:val="auto"/>
          <w:highlight w:val="none"/>
          <w:u w:val="single"/>
        </w:rPr>
      </w:pPr>
    </w:p>
    <w:p w14:paraId="5DDB6465">
      <w:pPr>
        <w:rPr>
          <w:color w:val="auto"/>
          <w:highlight w:val="none"/>
          <w:u w:val="single"/>
        </w:rPr>
      </w:pPr>
    </w:p>
    <w:p w14:paraId="37707FA2">
      <w:pPr>
        <w:rPr>
          <w:color w:val="auto"/>
          <w:highlight w:val="none"/>
          <w:u w:val="single"/>
        </w:rPr>
      </w:pPr>
    </w:p>
    <w:p w14:paraId="450CC123">
      <w:pPr>
        <w:rPr>
          <w:color w:val="auto"/>
          <w:highlight w:val="none"/>
          <w:u w:val="single"/>
        </w:rPr>
      </w:pPr>
    </w:p>
    <w:p w14:paraId="4FBC428F">
      <w:pPr>
        <w:rPr>
          <w:color w:val="auto"/>
          <w:highlight w:val="none"/>
          <w:u w:val="single"/>
        </w:rPr>
      </w:pPr>
    </w:p>
    <w:p w14:paraId="42F5650C">
      <w:pPr>
        <w:rPr>
          <w:color w:val="auto"/>
          <w:highlight w:val="none"/>
          <w:u w:val="single"/>
        </w:rPr>
      </w:pPr>
    </w:p>
    <w:p w14:paraId="0F9E882B">
      <w:pPr>
        <w:rPr>
          <w:color w:val="auto"/>
          <w:highlight w:val="none"/>
          <w:u w:val="single"/>
        </w:rPr>
      </w:pPr>
    </w:p>
    <w:p w14:paraId="02CB3AD9">
      <w:pPr>
        <w:rPr>
          <w:color w:val="auto"/>
          <w:highlight w:val="none"/>
          <w:u w:val="single"/>
        </w:rPr>
      </w:pPr>
    </w:p>
    <w:p w14:paraId="04633C8A">
      <w:pPr>
        <w:rPr>
          <w:color w:val="auto"/>
          <w:highlight w:val="none"/>
          <w:u w:val="single"/>
        </w:rPr>
      </w:pPr>
    </w:p>
    <w:p w14:paraId="717092A4">
      <w:pPr>
        <w:rPr>
          <w:color w:val="auto"/>
          <w:highlight w:val="none"/>
          <w:u w:val="single"/>
        </w:rPr>
      </w:pPr>
    </w:p>
    <w:p w14:paraId="7B0E7176">
      <w:pPr>
        <w:ind w:firstLine="2229" w:firstLineChars="694"/>
        <w:rPr>
          <w:rFonts w:eastAsia="楷体_GB2312"/>
          <w:b/>
          <w:color w:val="auto"/>
          <w:sz w:val="32"/>
          <w:szCs w:val="32"/>
          <w:highlight w:val="none"/>
          <w:u w:val="single"/>
        </w:rPr>
      </w:pPr>
      <w:bookmarkStart w:id="35" w:name="_Toc256691564"/>
      <w:bookmarkStart w:id="36" w:name="_Toc256695440"/>
      <w:r>
        <w:rPr>
          <w:rFonts w:eastAsia="楷体_GB2312"/>
          <w:b/>
          <w:color w:val="auto"/>
          <w:sz w:val="32"/>
          <w:szCs w:val="32"/>
          <w:highlight w:val="none"/>
        </w:rPr>
        <w:t>报价人：</w:t>
      </w:r>
      <w:bookmarkEnd w:id="35"/>
      <w:bookmarkEnd w:id="36"/>
      <w:r>
        <w:rPr>
          <w:rFonts w:eastAsia="楷体_GB2312"/>
          <w:b/>
          <w:color w:val="auto"/>
          <w:sz w:val="32"/>
          <w:szCs w:val="32"/>
          <w:highlight w:val="none"/>
          <w:u w:val="single"/>
        </w:rPr>
        <w:t xml:space="preserve">                 （盖单位章）</w:t>
      </w:r>
    </w:p>
    <w:p w14:paraId="765C8A00">
      <w:pPr>
        <w:ind w:firstLine="2249" w:firstLineChars="700"/>
        <w:jc w:val="both"/>
        <w:rPr>
          <w:rFonts w:eastAsia="楷体_GB2312"/>
          <w:b/>
          <w:color w:val="auto"/>
          <w:sz w:val="32"/>
          <w:szCs w:val="32"/>
          <w:highlight w:val="none"/>
          <w:u w:val="single"/>
        </w:rPr>
      </w:pPr>
      <w:r>
        <w:rPr>
          <w:rFonts w:eastAsia="楷体_GB2312"/>
          <w:b/>
          <w:color w:val="auto"/>
          <w:sz w:val="32"/>
          <w:szCs w:val="32"/>
          <w:highlight w:val="none"/>
        </w:rPr>
        <w:t>法定代表人</w:t>
      </w:r>
      <w:r>
        <w:rPr>
          <w:rFonts w:eastAsia="楷体_GB2312"/>
          <w:b/>
          <w:color w:val="auto"/>
          <w:sz w:val="32"/>
          <w:szCs w:val="32"/>
          <w:highlight w:val="none"/>
          <w:u w:val="single"/>
        </w:rPr>
        <w:t>：              （签字）</w:t>
      </w:r>
    </w:p>
    <w:p w14:paraId="1F7794BE">
      <w:pPr>
        <w:ind w:firstLine="2229" w:firstLineChars="694"/>
        <w:rPr>
          <w:rFonts w:eastAsia="楷体_GB2312"/>
          <w:b/>
          <w:color w:val="auto"/>
          <w:sz w:val="32"/>
          <w:szCs w:val="32"/>
          <w:highlight w:val="none"/>
        </w:rPr>
      </w:pPr>
      <w:bookmarkStart w:id="37" w:name="_Toc256691565"/>
      <w:bookmarkStart w:id="38" w:name="_Toc256695441"/>
      <w:r>
        <w:rPr>
          <w:rFonts w:eastAsia="楷体_GB2312"/>
          <w:b/>
          <w:color w:val="auto"/>
          <w:sz w:val="32"/>
          <w:szCs w:val="32"/>
          <w:highlight w:val="none"/>
        </w:rPr>
        <w:t>日期：</w:t>
      </w:r>
      <w:r>
        <w:rPr>
          <w:rFonts w:eastAsia="楷体_GB2312"/>
          <w:b/>
          <w:color w:val="auto"/>
          <w:sz w:val="32"/>
          <w:szCs w:val="32"/>
          <w:highlight w:val="none"/>
          <w:u w:val="single"/>
        </w:rPr>
        <w:t xml:space="preserve">       </w:t>
      </w:r>
      <w:r>
        <w:rPr>
          <w:rFonts w:eastAsia="楷体_GB2312"/>
          <w:b/>
          <w:color w:val="auto"/>
          <w:sz w:val="32"/>
          <w:szCs w:val="32"/>
          <w:highlight w:val="none"/>
        </w:rPr>
        <w:t>年</w:t>
      </w:r>
      <w:r>
        <w:rPr>
          <w:rFonts w:eastAsia="楷体_GB2312"/>
          <w:b/>
          <w:color w:val="auto"/>
          <w:sz w:val="32"/>
          <w:szCs w:val="32"/>
          <w:highlight w:val="none"/>
          <w:u w:val="single"/>
        </w:rPr>
        <w:t xml:space="preserve">       </w:t>
      </w:r>
      <w:r>
        <w:rPr>
          <w:rFonts w:eastAsia="楷体_GB2312"/>
          <w:b/>
          <w:color w:val="auto"/>
          <w:sz w:val="32"/>
          <w:szCs w:val="32"/>
          <w:highlight w:val="none"/>
        </w:rPr>
        <w:t>月</w:t>
      </w:r>
      <w:r>
        <w:rPr>
          <w:rFonts w:eastAsia="楷体_GB2312"/>
          <w:b/>
          <w:color w:val="auto"/>
          <w:sz w:val="32"/>
          <w:szCs w:val="32"/>
          <w:highlight w:val="none"/>
          <w:u w:val="single"/>
        </w:rPr>
        <w:t xml:space="preserve">      </w:t>
      </w:r>
      <w:r>
        <w:rPr>
          <w:rFonts w:eastAsia="楷体_GB2312"/>
          <w:b/>
          <w:color w:val="auto"/>
          <w:sz w:val="32"/>
          <w:szCs w:val="32"/>
          <w:highlight w:val="none"/>
        </w:rPr>
        <w:t>日</w:t>
      </w:r>
      <w:bookmarkEnd w:id="37"/>
      <w:bookmarkEnd w:id="38"/>
    </w:p>
    <w:p w14:paraId="2EB5709E">
      <w:pPr>
        <w:pStyle w:val="20"/>
        <w:ind w:firstLine="640"/>
        <w:rPr>
          <w:rFonts w:eastAsia="楷体_GB2312"/>
          <w:b/>
          <w:color w:val="auto"/>
          <w:szCs w:val="32"/>
          <w:highlight w:val="none"/>
        </w:rPr>
      </w:pPr>
    </w:p>
    <w:p w14:paraId="1CBD6148">
      <w:pPr>
        <w:pStyle w:val="20"/>
        <w:ind w:firstLine="640"/>
        <w:rPr>
          <w:rFonts w:eastAsia="楷体_GB2312"/>
          <w:b/>
          <w:color w:val="auto"/>
          <w:szCs w:val="32"/>
          <w:highlight w:val="none"/>
        </w:rPr>
      </w:pPr>
    </w:p>
    <w:p w14:paraId="6EC0C6A5">
      <w:pPr>
        <w:pStyle w:val="20"/>
        <w:ind w:firstLine="640"/>
        <w:rPr>
          <w:rFonts w:eastAsia="楷体_GB2312"/>
          <w:b/>
          <w:color w:val="auto"/>
          <w:szCs w:val="32"/>
          <w:highlight w:val="none"/>
        </w:rPr>
      </w:pPr>
    </w:p>
    <w:p w14:paraId="7A772725">
      <w:pPr>
        <w:pStyle w:val="12"/>
        <w:kinsoku w:val="0"/>
        <w:overflowPunct w:val="0"/>
        <w:spacing w:before="0" w:line="360" w:lineRule="auto"/>
        <w:ind w:left="576" w:right="414"/>
        <w:jc w:val="center"/>
        <w:rPr>
          <w:rFonts w:hint="default" w:cs="宋体"/>
          <w:color w:val="auto"/>
          <w:sz w:val="32"/>
          <w:highlight w:val="none"/>
        </w:rPr>
      </w:pPr>
      <w:r>
        <w:rPr>
          <w:rFonts w:cs="宋体"/>
          <w:b/>
          <w:color w:val="auto"/>
          <w:sz w:val="32"/>
          <w:highlight w:val="none"/>
        </w:rPr>
        <w:t>目   录</w:t>
      </w:r>
      <w:r>
        <w:rPr>
          <w:rFonts w:cs="宋体"/>
          <w:color w:val="auto"/>
          <w:sz w:val="32"/>
          <w:highlight w:val="none"/>
        </w:rPr>
        <w:t xml:space="preserve"> </w:t>
      </w:r>
    </w:p>
    <w:p w14:paraId="5B274332">
      <w:pPr>
        <w:pStyle w:val="12"/>
        <w:kinsoku w:val="0"/>
        <w:overflowPunct w:val="0"/>
        <w:spacing w:before="9" w:line="360" w:lineRule="auto"/>
        <w:ind w:left="0"/>
        <w:rPr>
          <w:rFonts w:hint="default" w:cs="宋体"/>
          <w:color w:val="auto"/>
          <w:szCs w:val="22"/>
          <w:highlight w:val="none"/>
        </w:rPr>
      </w:pPr>
    </w:p>
    <w:p w14:paraId="25E36376">
      <w:pPr>
        <w:pStyle w:val="12"/>
        <w:kinsoku w:val="0"/>
        <w:overflowPunct w:val="0"/>
        <w:spacing w:line="360" w:lineRule="auto"/>
        <w:ind w:left="0" w:firstLine="420" w:firstLineChars="200"/>
        <w:rPr>
          <w:rFonts w:hint="default" w:cs="宋体"/>
          <w:color w:val="auto"/>
          <w:szCs w:val="22"/>
          <w:highlight w:val="none"/>
        </w:rPr>
      </w:pPr>
      <w:r>
        <w:rPr>
          <w:rFonts w:cs="宋体"/>
          <w:color w:val="auto"/>
          <w:szCs w:val="22"/>
          <w:highlight w:val="none"/>
        </w:rPr>
        <w:t>一、比选函；</w:t>
      </w:r>
    </w:p>
    <w:p w14:paraId="30B4ADF1">
      <w:pPr>
        <w:pStyle w:val="12"/>
        <w:kinsoku w:val="0"/>
        <w:overflowPunct w:val="0"/>
        <w:spacing w:line="360" w:lineRule="auto"/>
        <w:ind w:left="0" w:firstLine="420" w:firstLineChars="200"/>
        <w:rPr>
          <w:rFonts w:hint="default" w:cs="宋体"/>
          <w:color w:val="auto"/>
          <w:szCs w:val="22"/>
          <w:highlight w:val="none"/>
        </w:rPr>
      </w:pPr>
      <w:r>
        <w:rPr>
          <w:rFonts w:cs="宋体"/>
          <w:color w:val="auto"/>
          <w:szCs w:val="22"/>
          <w:highlight w:val="none"/>
        </w:rPr>
        <w:t>二、法定代表人（单位负责人）身份证明或授权委托书；</w:t>
      </w:r>
    </w:p>
    <w:p w14:paraId="6E2DFD1A">
      <w:pPr>
        <w:pStyle w:val="12"/>
        <w:kinsoku w:val="0"/>
        <w:overflowPunct w:val="0"/>
        <w:spacing w:line="360" w:lineRule="auto"/>
        <w:ind w:left="0" w:firstLine="420" w:firstLineChars="200"/>
        <w:rPr>
          <w:rFonts w:cs="宋体"/>
          <w:color w:val="auto"/>
          <w:szCs w:val="22"/>
          <w:highlight w:val="none"/>
        </w:rPr>
      </w:pPr>
      <w:r>
        <w:rPr>
          <w:rFonts w:cs="宋体"/>
          <w:color w:val="auto"/>
          <w:szCs w:val="22"/>
          <w:highlight w:val="none"/>
        </w:rPr>
        <w:t>三、资格审查资料；</w:t>
      </w:r>
    </w:p>
    <w:p w14:paraId="322A52A7">
      <w:pPr>
        <w:pStyle w:val="12"/>
        <w:kinsoku w:val="0"/>
        <w:overflowPunct w:val="0"/>
        <w:spacing w:line="360" w:lineRule="auto"/>
        <w:ind w:left="0" w:firstLine="420" w:firstLineChars="200"/>
        <w:rPr>
          <w:rFonts w:hint="default" w:ascii="宋体" w:hAnsi="宋体" w:eastAsia="宋体" w:cs="宋体"/>
          <w:color w:val="auto"/>
          <w:sz w:val="21"/>
          <w:szCs w:val="22"/>
          <w:highlight w:val="none"/>
          <w:lang w:val="en-US" w:eastAsia="zh-CN" w:bidi="ar-SA"/>
        </w:rPr>
      </w:pPr>
      <w:r>
        <w:rPr>
          <w:rFonts w:cs="宋体"/>
          <w:color w:val="auto"/>
          <w:szCs w:val="22"/>
          <w:highlight w:val="none"/>
        </w:rPr>
        <w:t>四、</w:t>
      </w:r>
      <w:r>
        <w:rPr>
          <w:rFonts w:hint="eastAsia" w:ascii="宋体" w:hAnsi="宋体" w:eastAsia="宋体" w:cs="宋体"/>
          <w:color w:val="auto"/>
          <w:sz w:val="21"/>
          <w:szCs w:val="22"/>
          <w:highlight w:val="none"/>
          <w:lang w:val="en-US" w:eastAsia="zh-CN" w:bidi="ar-SA"/>
        </w:rPr>
        <w:t>无行贿犯罪的承诺函；</w:t>
      </w:r>
    </w:p>
    <w:p w14:paraId="1AF56AFA">
      <w:pPr>
        <w:pStyle w:val="12"/>
        <w:kinsoku w:val="0"/>
        <w:overflowPunct w:val="0"/>
        <w:spacing w:line="360" w:lineRule="auto"/>
        <w:ind w:left="0" w:firstLine="420" w:firstLineChars="200"/>
        <w:rPr>
          <w:rFonts w:hint="default" w:cs="宋体"/>
          <w:color w:val="auto"/>
          <w:szCs w:val="22"/>
          <w:highlight w:val="none"/>
        </w:rPr>
      </w:pPr>
      <w:r>
        <w:rPr>
          <w:rFonts w:cs="宋体"/>
          <w:color w:val="auto"/>
          <w:szCs w:val="22"/>
          <w:highlight w:val="none"/>
        </w:rPr>
        <w:t>五、</w:t>
      </w:r>
      <w:r>
        <w:rPr>
          <w:rFonts w:hint="eastAsia" w:cs="宋体"/>
          <w:color w:val="auto"/>
          <w:szCs w:val="22"/>
          <w:highlight w:val="none"/>
          <w:lang w:val="en-US" w:eastAsia="zh-CN"/>
        </w:rPr>
        <w:t>资格证书</w:t>
      </w:r>
      <w:r>
        <w:rPr>
          <w:rFonts w:cs="宋体"/>
          <w:color w:val="auto"/>
          <w:szCs w:val="22"/>
          <w:highlight w:val="none"/>
        </w:rPr>
        <w:t>。</w:t>
      </w:r>
    </w:p>
    <w:p w14:paraId="47B16366">
      <w:pPr>
        <w:pStyle w:val="12"/>
        <w:kinsoku w:val="0"/>
        <w:overflowPunct w:val="0"/>
        <w:spacing w:line="360" w:lineRule="auto"/>
        <w:ind w:right="89"/>
        <w:rPr>
          <w:rFonts w:hint="default" w:cs="宋体"/>
          <w:color w:val="auto"/>
          <w:szCs w:val="22"/>
          <w:highlight w:val="none"/>
        </w:rPr>
      </w:pPr>
    </w:p>
    <w:p w14:paraId="568ABF3D">
      <w:pPr>
        <w:pStyle w:val="12"/>
        <w:kinsoku w:val="0"/>
        <w:overflowPunct w:val="0"/>
        <w:spacing w:before="0" w:line="360" w:lineRule="auto"/>
        <w:ind w:left="0"/>
        <w:rPr>
          <w:rFonts w:hint="default" w:cs="宋体"/>
          <w:color w:val="auto"/>
          <w:sz w:val="24"/>
          <w:highlight w:val="none"/>
        </w:rPr>
      </w:pPr>
    </w:p>
    <w:p w14:paraId="054BE58E">
      <w:pPr>
        <w:pStyle w:val="12"/>
        <w:kinsoku w:val="0"/>
        <w:overflowPunct w:val="0"/>
        <w:spacing w:before="305" w:line="360" w:lineRule="auto"/>
        <w:ind w:left="244"/>
        <w:jc w:val="center"/>
        <w:rPr>
          <w:rFonts w:hint="default" w:cs="宋体"/>
          <w:color w:val="auto"/>
          <w:sz w:val="48"/>
          <w:highlight w:val="none"/>
        </w:rPr>
      </w:pPr>
    </w:p>
    <w:p w14:paraId="10140734">
      <w:pPr>
        <w:pStyle w:val="12"/>
        <w:kinsoku w:val="0"/>
        <w:overflowPunct w:val="0"/>
        <w:spacing w:before="305" w:line="360" w:lineRule="auto"/>
        <w:ind w:left="244"/>
        <w:jc w:val="center"/>
        <w:rPr>
          <w:rFonts w:hint="default" w:cs="宋体"/>
          <w:color w:val="auto"/>
          <w:sz w:val="48"/>
          <w:highlight w:val="none"/>
        </w:rPr>
        <w:sectPr>
          <w:footerReference r:id="rId18" w:type="default"/>
          <w:pgSz w:w="11900" w:h="16840"/>
          <w:pgMar w:top="1440" w:right="1080" w:bottom="1440" w:left="1080" w:header="881" w:footer="912" w:gutter="0"/>
          <w:cols w:space="720" w:num="1"/>
        </w:sectPr>
      </w:pPr>
    </w:p>
    <w:p w14:paraId="5145F543">
      <w:pPr>
        <w:pStyle w:val="3"/>
        <w:spacing w:line="360" w:lineRule="auto"/>
        <w:ind w:left="0"/>
        <w:jc w:val="center"/>
        <w:rPr>
          <w:rFonts w:hint="default" w:cs="宋体"/>
          <w:color w:val="auto"/>
          <w:sz w:val="32"/>
          <w:szCs w:val="11"/>
          <w:highlight w:val="none"/>
        </w:rPr>
      </w:pPr>
      <w:bookmarkStart w:id="39" w:name="_Toc26933"/>
      <w:r>
        <w:rPr>
          <w:rFonts w:cs="宋体"/>
          <w:color w:val="auto"/>
          <w:sz w:val="32"/>
          <w:szCs w:val="11"/>
          <w:highlight w:val="none"/>
        </w:rPr>
        <w:br w:type="page"/>
      </w:r>
    </w:p>
    <w:p w14:paraId="1F899FA3">
      <w:pPr>
        <w:pStyle w:val="3"/>
        <w:spacing w:line="360" w:lineRule="auto"/>
        <w:ind w:left="0"/>
        <w:jc w:val="center"/>
        <w:rPr>
          <w:rFonts w:hint="default" w:cs="宋体"/>
          <w:color w:val="auto"/>
          <w:sz w:val="32"/>
          <w:szCs w:val="11"/>
          <w:highlight w:val="none"/>
        </w:rPr>
      </w:pPr>
      <w:r>
        <w:rPr>
          <w:rFonts w:cs="宋体"/>
          <w:color w:val="auto"/>
          <w:sz w:val="32"/>
          <w:szCs w:val="11"/>
          <w:highlight w:val="none"/>
        </w:rPr>
        <w:t>—、比选函</w:t>
      </w:r>
      <w:bookmarkEnd w:id="39"/>
    </w:p>
    <w:p w14:paraId="7F8B1968">
      <w:pPr>
        <w:tabs>
          <w:tab w:val="left" w:pos="1783"/>
        </w:tabs>
        <w:spacing w:before="277" w:line="228" w:lineRule="auto"/>
        <w:ind w:left="1"/>
        <w:rPr>
          <w:rFonts w:ascii="宋体" w:hAnsi="宋体" w:cs="宋体"/>
          <w:color w:val="auto"/>
          <w:sz w:val="20"/>
          <w:highlight w:val="none"/>
        </w:rPr>
      </w:pPr>
      <w:r>
        <w:rPr>
          <w:rFonts w:ascii="宋体" w:hAnsi="宋体" w:cs="宋体"/>
          <w:color w:val="auto"/>
          <w:sz w:val="20"/>
          <w:highlight w:val="none"/>
          <w:u w:val="single"/>
        </w:rPr>
        <w:tab/>
      </w:r>
      <w:r>
        <w:rPr>
          <w:rFonts w:ascii="宋体" w:hAnsi="宋体" w:cs="宋体"/>
          <w:color w:val="auto"/>
          <w:spacing w:val="10"/>
          <w:sz w:val="20"/>
          <w:highlight w:val="none"/>
        </w:rPr>
        <w:t>（招标人名称</w:t>
      </w:r>
      <w:r>
        <w:rPr>
          <w:rFonts w:ascii="宋体" w:hAnsi="宋体" w:cs="宋体"/>
          <w:color w:val="auto"/>
          <w:sz w:val="20"/>
          <w:highlight w:val="none"/>
        </w:rPr>
        <w:t>）：</w:t>
      </w:r>
    </w:p>
    <w:p w14:paraId="2B570946">
      <w:pPr>
        <w:pStyle w:val="12"/>
        <w:spacing w:line="454" w:lineRule="auto"/>
        <w:rPr>
          <w:rFonts w:hint="default"/>
          <w:color w:val="auto"/>
          <w:highlight w:val="none"/>
        </w:rPr>
      </w:pPr>
    </w:p>
    <w:p w14:paraId="7586A7FC">
      <w:pPr>
        <w:widowControl/>
        <w:numPr>
          <w:ilvl w:val="0"/>
          <w:numId w:val="2"/>
        </w:numPr>
        <w:snapToGrid w:val="0"/>
        <w:spacing w:line="560" w:lineRule="exact"/>
        <w:ind w:firstLine="428" w:firstLineChars="200"/>
        <w:jc w:val="both"/>
        <w:textAlignment w:val="baseline"/>
        <w:rPr>
          <w:rFonts w:ascii="宋体" w:hAnsi="宋体" w:cs="宋体"/>
          <w:color w:val="auto"/>
          <w:spacing w:val="9"/>
          <w:sz w:val="20"/>
          <w:highlight w:val="none"/>
        </w:rPr>
      </w:pPr>
      <w:r>
        <w:rPr>
          <w:rFonts w:ascii="宋体" w:hAnsi="宋体" w:cs="宋体"/>
          <w:color w:val="auto"/>
          <w:spacing w:val="7"/>
          <w:sz w:val="20"/>
          <w:highlight w:val="none"/>
        </w:rPr>
        <w:t>我方仔细研究了（招标项目名称）招标标段招标文件（含全部补遗书</w:t>
      </w:r>
      <w:r>
        <w:rPr>
          <w:rFonts w:ascii="宋体" w:hAnsi="宋体" w:cs="宋体"/>
          <w:color w:val="auto"/>
          <w:spacing w:val="19"/>
          <w:sz w:val="20"/>
          <w:highlight w:val="none"/>
        </w:rPr>
        <w:t>），</w:t>
      </w:r>
      <w:r>
        <w:rPr>
          <w:rFonts w:ascii="宋体" w:hAnsi="宋体" w:cs="宋体"/>
          <w:color w:val="auto"/>
          <w:spacing w:val="7"/>
          <w:sz w:val="20"/>
          <w:highlight w:val="none"/>
        </w:rPr>
        <w:t>我方愿意</w:t>
      </w:r>
      <w:r>
        <w:rPr>
          <w:rFonts w:ascii="宋体" w:hAnsi="宋体" w:cs="宋体"/>
          <w:color w:val="auto"/>
          <w:spacing w:val="6"/>
          <w:sz w:val="20"/>
          <w:highlight w:val="none"/>
        </w:rPr>
        <w:t>人民币(大写)</w:t>
      </w:r>
      <w:r>
        <w:rPr>
          <w:rFonts w:hint="eastAsia" w:ascii="宋体" w:hAnsi="宋体" w:cs="宋体"/>
          <w:color w:val="auto"/>
          <w:spacing w:val="6"/>
          <w:sz w:val="20"/>
          <w:highlight w:val="none"/>
          <w:lang w:val="en-US" w:eastAsia="zh-CN"/>
        </w:rPr>
        <w:t xml:space="preserve">       （</w:t>
      </w:r>
      <w:r>
        <w:rPr>
          <w:rFonts w:hint="eastAsia" w:ascii="宋体" w:hAnsi="宋体" w:cs="宋体"/>
          <w:color w:val="auto"/>
          <w:spacing w:val="6"/>
          <w:sz w:val="20"/>
          <w:highlight w:val="none"/>
          <w:u w:val="single"/>
          <w:lang w:val="en-US" w:eastAsia="zh-CN"/>
        </w:rPr>
        <w:t xml:space="preserve">            </w:t>
      </w:r>
      <w:r>
        <w:rPr>
          <w:rFonts w:hint="eastAsia" w:ascii="宋体" w:hAnsi="宋体" w:cs="宋体"/>
          <w:color w:val="auto"/>
          <w:spacing w:val="6"/>
          <w:sz w:val="20"/>
          <w:highlight w:val="none"/>
          <w:lang w:val="en-US" w:eastAsia="zh-CN"/>
        </w:rPr>
        <w:t>）</w:t>
      </w:r>
      <w:r>
        <w:rPr>
          <w:rFonts w:ascii="宋体" w:hAnsi="宋体" w:cs="宋体"/>
          <w:color w:val="auto"/>
          <w:spacing w:val="6"/>
          <w:sz w:val="20"/>
          <w:highlight w:val="none"/>
        </w:rPr>
        <w:t>/</w:t>
      </w:r>
      <w:r>
        <w:rPr>
          <w:rFonts w:hint="eastAsia" w:ascii="宋体" w:hAnsi="宋体" w:cs="宋体"/>
          <w:color w:val="auto"/>
          <w:spacing w:val="6"/>
          <w:sz w:val="20"/>
          <w:highlight w:val="none"/>
        </w:rPr>
        <w:t>亩</w:t>
      </w:r>
      <w:r>
        <w:rPr>
          <w:rFonts w:ascii="宋体" w:hAnsi="宋体" w:cs="宋体"/>
          <w:color w:val="auto"/>
          <w:spacing w:val="6"/>
          <w:sz w:val="20"/>
          <w:highlight w:val="none"/>
        </w:rPr>
        <w:t>(¥元/</w:t>
      </w:r>
      <w:r>
        <w:rPr>
          <w:rFonts w:hint="eastAsia" w:ascii="宋体" w:hAnsi="宋体" w:cs="宋体"/>
          <w:color w:val="auto"/>
          <w:spacing w:val="6"/>
          <w:sz w:val="20"/>
          <w:highlight w:val="none"/>
        </w:rPr>
        <w:t>亩</w:t>
      </w:r>
      <w:r>
        <w:rPr>
          <w:rFonts w:ascii="宋体" w:hAnsi="宋体" w:cs="宋体"/>
          <w:color w:val="auto"/>
          <w:spacing w:val="5"/>
          <w:sz w:val="20"/>
          <w:highlight w:val="none"/>
        </w:rPr>
        <w:t>)的投标总报价</w:t>
      </w:r>
      <w:r>
        <w:rPr>
          <w:rFonts w:ascii="宋体" w:hAnsi="宋体" w:cs="宋体"/>
          <w:color w:val="auto"/>
          <w:spacing w:val="9"/>
          <w:sz w:val="20"/>
          <w:highlight w:val="none"/>
        </w:rPr>
        <w:t>，按合同约定承担并完成本招标项目规定的所有工作。</w:t>
      </w:r>
    </w:p>
    <w:p w14:paraId="17E47BEB">
      <w:pPr>
        <w:spacing w:line="560" w:lineRule="exact"/>
        <w:ind w:firstLine="436" w:firstLineChars="200"/>
        <w:jc w:val="both"/>
        <w:rPr>
          <w:rFonts w:ascii="宋体" w:hAnsi="宋体" w:cs="宋体"/>
          <w:color w:val="auto"/>
          <w:sz w:val="20"/>
          <w:highlight w:val="none"/>
        </w:rPr>
      </w:pPr>
      <w:r>
        <w:rPr>
          <w:rFonts w:ascii="宋体" w:hAnsi="宋体" w:cs="宋体"/>
          <w:color w:val="auto"/>
          <w:spacing w:val="9"/>
          <w:sz w:val="20"/>
          <w:highlight w:val="none"/>
        </w:rPr>
        <w:t>2．我方承诺在招标文件规定的投标有效期内不撤销投标</w:t>
      </w:r>
      <w:r>
        <w:rPr>
          <w:rFonts w:ascii="宋体" w:hAnsi="宋体" w:cs="宋体"/>
          <w:color w:val="auto"/>
          <w:spacing w:val="8"/>
          <w:sz w:val="20"/>
          <w:highlight w:val="none"/>
        </w:rPr>
        <w:t>文件。</w:t>
      </w:r>
    </w:p>
    <w:p w14:paraId="2F7BCC8C">
      <w:pPr>
        <w:spacing w:line="560" w:lineRule="exact"/>
        <w:ind w:firstLine="428" w:firstLineChars="200"/>
        <w:jc w:val="both"/>
        <w:rPr>
          <w:rFonts w:ascii="宋体" w:hAnsi="宋体" w:cs="宋体"/>
          <w:color w:val="auto"/>
          <w:spacing w:val="7"/>
          <w:sz w:val="20"/>
          <w:highlight w:val="none"/>
        </w:rPr>
      </w:pPr>
      <w:r>
        <w:rPr>
          <w:rFonts w:ascii="宋体" w:hAnsi="宋体" w:cs="宋体"/>
          <w:color w:val="auto"/>
          <w:spacing w:val="7"/>
          <w:sz w:val="20"/>
          <w:highlight w:val="none"/>
        </w:rPr>
        <w:t>3.质量要求：满足招标文件要求；安全目标：满足招标文件要求，服务期限：满足招标文件要求。</w:t>
      </w:r>
    </w:p>
    <w:p w14:paraId="76F857D0">
      <w:pPr>
        <w:spacing w:line="560" w:lineRule="exact"/>
        <w:ind w:firstLine="428" w:firstLineChars="200"/>
        <w:jc w:val="both"/>
        <w:rPr>
          <w:rFonts w:ascii="宋体" w:hAnsi="宋体" w:cs="宋体"/>
          <w:color w:val="auto"/>
          <w:spacing w:val="7"/>
          <w:sz w:val="20"/>
          <w:highlight w:val="none"/>
        </w:rPr>
      </w:pPr>
      <w:r>
        <w:rPr>
          <w:rFonts w:ascii="宋体" w:hAnsi="宋体" w:cs="宋体"/>
          <w:color w:val="auto"/>
          <w:spacing w:val="7"/>
          <w:sz w:val="20"/>
          <w:highlight w:val="none"/>
        </w:rPr>
        <w:t>4.项目负责人：姓名：性别：年龄：现任职务：。</w:t>
      </w:r>
    </w:p>
    <w:p w14:paraId="4B3B9976">
      <w:pPr>
        <w:spacing w:line="560" w:lineRule="exact"/>
        <w:ind w:firstLine="428" w:firstLineChars="200"/>
        <w:jc w:val="both"/>
        <w:rPr>
          <w:rFonts w:ascii="宋体" w:hAnsi="宋体" w:cs="宋体"/>
          <w:color w:val="auto"/>
          <w:spacing w:val="7"/>
          <w:sz w:val="20"/>
          <w:highlight w:val="none"/>
        </w:rPr>
      </w:pPr>
      <w:r>
        <w:rPr>
          <w:rFonts w:ascii="宋体" w:hAnsi="宋体" w:cs="宋体"/>
          <w:color w:val="auto"/>
          <w:spacing w:val="7"/>
          <w:sz w:val="20"/>
          <w:highlight w:val="none"/>
        </w:rPr>
        <w:t>5．如我方中标，我方承诺：</w:t>
      </w:r>
    </w:p>
    <w:p w14:paraId="59B369EB">
      <w:pPr>
        <w:spacing w:line="560" w:lineRule="exact"/>
        <w:ind w:left="480" w:leftChars="200"/>
        <w:jc w:val="both"/>
        <w:rPr>
          <w:rFonts w:ascii="宋体" w:hAnsi="宋体" w:cs="宋体"/>
          <w:color w:val="auto"/>
          <w:spacing w:val="7"/>
          <w:sz w:val="20"/>
          <w:highlight w:val="none"/>
        </w:rPr>
      </w:pPr>
      <w:r>
        <w:rPr>
          <w:rFonts w:ascii="宋体" w:hAnsi="宋体" w:cs="宋体"/>
          <w:color w:val="auto"/>
          <w:spacing w:val="7"/>
          <w:sz w:val="20"/>
          <w:highlight w:val="none"/>
        </w:rPr>
        <w:t>（1）在收到中标通知书后，在中标通知书规定的期限内与你方签订合同；</w:t>
      </w:r>
    </w:p>
    <w:p w14:paraId="0A2381F6">
      <w:pPr>
        <w:spacing w:line="560" w:lineRule="exact"/>
        <w:ind w:left="480" w:leftChars="200"/>
        <w:jc w:val="both"/>
        <w:rPr>
          <w:rFonts w:ascii="宋体" w:hAnsi="宋体" w:cs="宋体"/>
          <w:color w:val="auto"/>
          <w:spacing w:val="8"/>
          <w:position w:val="15"/>
          <w:sz w:val="20"/>
          <w:highlight w:val="none"/>
        </w:rPr>
      </w:pPr>
      <w:r>
        <w:rPr>
          <w:rFonts w:ascii="宋体" w:hAnsi="宋体" w:cs="宋体"/>
          <w:color w:val="auto"/>
          <w:spacing w:val="7"/>
          <w:sz w:val="20"/>
          <w:highlight w:val="none"/>
        </w:rPr>
        <w:t>（2）在签订合同时不向你方提出附加条件；</w:t>
      </w:r>
    </w:p>
    <w:p w14:paraId="78CDD72E">
      <w:pPr>
        <w:spacing w:line="560" w:lineRule="exact"/>
        <w:ind w:left="480" w:leftChars="200"/>
        <w:jc w:val="both"/>
        <w:rPr>
          <w:rFonts w:ascii="宋体" w:hAnsi="宋体" w:cs="宋体"/>
          <w:color w:val="auto"/>
          <w:spacing w:val="7"/>
          <w:sz w:val="20"/>
          <w:highlight w:val="none"/>
        </w:rPr>
      </w:pPr>
      <w:r>
        <w:rPr>
          <w:rFonts w:ascii="宋体" w:hAnsi="宋体" w:cs="宋体"/>
          <w:color w:val="auto"/>
          <w:spacing w:val="7"/>
          <w:sz w:val="20"/>
          <w:highlight w:val="none"/>
        </w:rPr>
        <w:t>（</w:t>
      </w:r>
      <w:r>
        <w:rPr>
          <w:rFonts w:hint="eastAsia" w:ascii="宋体" w:hAnsi="宋体" w:cs="宋体"/>
          <w:color w:val="auto"/>
          <w:spacing w:val="7"/>
          <w:sz w:val="20"/>
          <w:highlight w:val="none"/>
        </w:rPr>
        <w:t>3</w:t>
      </w:r>
      <w:r>
        <w:rPr>
          <w:rFonts w:ascii="宋体" w:hAnsi="宋体" w:cs="宋体"/>
          <w:color w:val="auto"/>
          <w:spacing w:val="7"/>
          <w:sz w:val="20"/>
          <w:highlight w:val="none"/>
        </w:rPr>
        <w:t>）在合同约定的期限内完成合同规定的全部义务。</w:t>
      </w:r>
    </w:p>
    <w:p w14:paraId="7F0C480D">
      <w:pPr>
        <w:spacing w:line="560" w:lineRule="exact"/>
        <w:ind w:left="480" w:leftChars="200"/>
        <w:jc w:val="both"/>
        <w:rPr>
          <w:rFonts w:ascii="宋体" w:hAnsi="宋体" w:cs="宋体"/>
          <w:color w:val="auto"/>
          <w:spacing w:val="7"/>
          <w:sz w:val="20"/>
          <w:highlight w:val="none"/>
        </w:rPr>
      </w:pPr>
      <w:r>
        <w:rPr>
          <w:rFonts w:ascii="宋体" w:hAnsi="宋体" w:cs="宋体"/>
          <w:color w:val="auto"/>
          <w:spacing w:val="7"/>
          <w:sz w:val="20"/>
          <w:highlight w:val="none"/>
        </w:rPr>
        <w:t>6．我方在此声明，所递交的投标文件及有关资料内容完整、真实和准确，且不存在招标文件第二章</w:t>
      </w:r>
    </w:p>
    <w:p w14:paraId="741E8720">
      <w:pPr>
        <w:spacing w:line="560" w:lineRule="exact"/>
        <w:ind w:left="480" w:leftChars="200"/>
        <w:jc w:val="both"/>
        <w:rPr>
          <w:rFonts w:ascii="宋体" w:hAnsi="宋体" w:cs="宋体"/>
          <w:color w:val="auto"/>
          <w:spacing w:val="7"/>
          <w:sz w:val="20"/>
          <w:highlight w:val="none"/>
        </w:rPr>
      </w:pPr>
      <w:r>
        <w:rPr>
          <w:rFonts w:ascii="宋体" w:hAnsi="宋体" w:cs="宋体"/>
          <w:color w:val="auto"/>
          <w:spacing w:val="7"/>
          <w:sz w:val="20"/>
          <w:highlight w:val="none"/>
        </w:rPr>
        <w:t>“投标人须知”第1.4.3项和第1.4.4项规定的任何一种情形；</w:t>
      </w:r>
    </w:p>
    <w:p w14:paraId="4F86C926">
      <w:pPr>
        <w:spacing w:line="560" w:lineRule="exact"/>
        <w:ind w:firstLine="428" w:firstLineChars="200"/>
        <w:jc w:val="both"/>
        <w:rPr>
          <w:rFonts w:ascii="宋体" w:hAnsi="宋体" w:cs="宋体"/>
          <w:color w:val="auto"/>
          <w:spacing w:val="7"/>
          <w:sz w:val="20"/>
          <w:highlight w:val="none"/>
        </w:rPr>
      </w:pPr>
      <w:r>
        <w:rPr>
          <w:rFonts w:ascii="宋体" w:hAnsi="宋体" w:cs="宋体"/>
          <w:color w:val="auto"/>
          <w:spacing w:val="7"/>
          <w:sz w:val="20"/>
          <w:highlight w:val="none"/>
        </w:rPr>
        <w:t>7．在合同协议书正式签署生效之前，本投标函连同你方的中标通知书将构成我们双方之间共同遵守的文件，对双方具有约束力。</w:t>
      </w:r>
    </w:p>
    <w:p w14:paraId="198F201A">
      <w:pPr>
        <w:spacing w:line="560" w:lineRule="exact"/>
        <w:ind w:left="480" w:leftChars="200"/>
        <w:jc w:val="both"/>
        <w:rPr>
          <w:rFonts w:ascii="宋体" w:hAnsi="宋体" w:cs="宋体"/>
          <w:color w:val="auto"/>
          <w:spacing w:val="7"/>
          <w:sz w:val="20"/>
          <w:highlight w:val="none"/>
        </w:rPr>
      </w:pPr>
      <w:r>
        <w:rPr>
          <w:rFonts w:ascii="宋体" w:hAnsi="宋体" w:cs="宋体"/>
          <w:color w:val="auto"/>
          <w:spacing w:val="7"/>
          <w:sz w:val="20"/>
          <w:highlight w:val="none"/>
        </w:rPr>
        <w:t>8.（其他补充说明）。</w:t>
      </w:r>
    </w:p>
    <w:p w14:paraId="4EAA9612">
      <w:pPr>
        <w:pStyle w:val="12"/>
        <w:spacing w:line="250" w:lineRule="auto"/>
        <w:rPr>
          <w:rFonts w:hint="default"/>
          <w:color w:val="auto"/>
          <w:highlight w:val="none"/>
        </w:rPr>
      </w:pPr>
    </w:p>
    <w:p w14:paraId="4DE756DF">
      <w:pPr>
        <w:pStyle w:val="12"/>
        <w:spacing w:line="251" w:lineRule="auto"/>
        <w:rPr>
          <w:rFonts w:hint="default"/>
          <w:color w:val="auto"/>
          <w:highlight w:val="none"/>
        </w:rPr>
      </w:pPr>
    </w:p>
    <w:p w14:paraId="1AE11855">
      <w:pPr>
        <w:spacing w:line="560" w:lineRule="exact"/>
        <w:ind w:firstLine="3240" w:firstLineChars="1500"/>
        <w:rPr>
          <w:rFonts w:ascii="宋体" w:hAnsi="宋体" w:cs="宋体"/>
          <w:color w:val="auto"/>
          <w:spacing w:val="8"/>
          <w:sz w:val="20"/>
          <w:highlight w:val="none"/>
        </w:rPr>
      </w:pPr>
      <w:r>
        <w:rPr>
          <w:rFonts w:ascii="宋体" w:hAnsi="宋体" w:cs="宋体"/>
          <w:color w:val="auto"/>
          <w:spacing w:val="8"/>
          <w:sz w:val="20"/>
          <w:highlight w:val="none"/>
        </w:rPr>
        <w:t>投标人：（全称）（盖单位章或单位电子印章）</w:t>
      </w:r>
    </w:p>
    <w:p w14:paraId="1CCAAE9A">
      <w:pPr>
        <w:spacing w:line="560" w:lineRule="exact"/>
        <w:ind w:firstLine="3240" w:firstLineChars="1500"/>
        <w:rPr>
          <w:rFonts w:ascii="宋体" w:hAnsi="宋体" w:cs="宋体"/>
          <w:color w:val="auto"/>
          <w:spacing w:val="8"/>
          <w:sz w:val="20"/>
          <w:highlight w:val="none"/>
        </w:rPr>
      </w:pPr>
      <w:r>
        <w:rPr>
          <w:rFonts w:ascii="宋体" w:hAnsi="宋体" w:cs="宋体"/>
          <w:color w:val="auto"/>
          <w:spacing w:val="8"/>
          <w:sz w:val="20"/>
          <w:highlight w:val="none"/>
        </w:rPr>
        <w:t>法定代表人或其委托代理人：(签字或加盖个人电子签名章</w:t>
      </w:r>
    </w:p>
    <w:p w14:paraId="546572C4">
      <w:pPr>
        <w:spacing w:line="560" w:lineRule="exact"/>
        <w:ind w:firstLine="6048" w:firstLineChars="2800"/>
        <w:rPr>
          <w:rFonts w:ascii="宋体" w:hAnsi="宋体" w:cs="宋体"/>
          <w:color w:val="auto"/>
          <w:spacing w:val="8"/>
          <w:sz w:val="20"/>
          <w:highlight w:val="none"/>
        </w:rPr>
      </w:pPr>
      <w:r>
        <w:rPr>
          <w:rFonts w:ascii="宋体" w:hAnsi="宋体" w:cs="宋体"/>
          <w:color w:val="auto"/>
          <w:spacing w:val="8"/>
          <w:sz w:val="20"/>
          <w:highlight w:val="none"/>
        </w:rPr>
        <w:t>或加盖个人电子印章)</w:t>
      </w:r>
    </w:p>
    <w:p w14:paraId="71EF4D76">
      <w:pPr>
        <w:spacing w:line="560" w:lineRule="exact"/>
        <w:ind w:firstLine="3240" w:firstLineChars="1500"/>
        <w:rPr>
          <w:rFonts w:ascii="宋体" w:hAnsi="宋体" w:cs="宋体"/>
          <w:color w:val="auto"/>
          <w:spacing w:val="8"/>
          <w:sz w:val="20"/>
          <w:highlight w:val="none"/>
        </w:rPr>
      </w:pPr>
      <w:r>
        <w:rPr>
          <w:rFonts w:ascii="宋体" w:hAnsi="宋体" w:cs="宋体"/>
          <w:color w:val="auto"/>
          <w:spacing w:val="8"/>
          <w:sz w:val="20"/>
          <w:highlight w:val="none"/>
        </w:rPr>
        <w:t>地址：</w:t>
      </w:r>
    </w:p>
    <w:p w14:paraId="0235E7C4">
      <w:pPr>
        <w:spacing w:line="560" w:lineRule="exact"/>
        <w:ind w:firstLine="3240" w:firstLineChars="1500"/>
        <w:rPr>
          <w:rFonts w:ascii="宋体" w:hAnsi="宋体" w:cs="宋体"/>
          <w:color w:val="auto"/>
          <w:spacing w:val="8"/>
          <w:sz w:val="20"/>
          <w:highlight w:val="none"/>
        </w:rPr>
      </w:pPr>
      <w:r>
        <w:rPr>
          <w:rFonts w:ascii="宋体" w:hAnsi="宋体" w:cs="宋体"/>
          <w:color w:val="auto"/>
          <w:spacing w:val="8"/>
          <w:sz w:val="20"/>
          <w:highlight w:val="none"/>
        </w:rPr>
        <w:t>电话：</w:t>
      </w:r>
    </w:p>
    <w:p w14:paraId="5645E432">
      <w:pPr>
        <w:spacing w:line="560" w:lineRule="exact"/>
        <w:ind w:firstLine="3240" w:firstLineChars="1500"/>
        <w:rPr>
          <w:rFonts w:ascii="宋体" w:hAnsi="宋体" w:cs="宋体"/>
          <w:color w:val="auto"/>
          <w:spacing w:val="8"/>
          <w:sz w:val="20"/>
          <w:highlight w:val="none"/>
        </w:rPr>
      </w:pPr>
      <w:r>
        <w:rPr>
          <w:rFonts w:ascii="宋体" w:hAnsi="宋体" w:cs="宋体"/>
          <w:color w:val="auto"/>
          <w:spacing w:val="8"/>
          <w:sz w:val="20"/>
          <w:highlight w:val="none"/>
        </w:rPr>
        <w:t>年</w:t>
      </w:r>
      <w:r>
        <w:rPr>
          <w:rFonts w:hint="eastAsia" w:ascii="宋体" w:hAnsi="宋体" w:cs="宋体"/>
          <w:color w:val="auto"/>
          <w:spacing w:val="8"/>
          <w:sz w:val="20"/>
          <w:highlight w:val="none"/>
        </w:rPr>
        <w:t xml:space="preserve">   </w:t>
      </w:r>
      <w:r>
        <w:rPr>
          <w:rFonts w:ascii="宋体" w:hAnsi="宋体" w:cs="宋体"/>
          <w:color w:val="auto"/>
          <w:spacing w:val="8"/>
          <w:sz w:val="20"/>
          <w:highlight w:val="none"/>
        </w:rPr>
        <w:t>月</w:t>
      </w:r>
      <w:r>
        <w:rPr>
          <w:rFonts w:hint="eastAsia" w:ascii="宋体" w:hAnsi="宋体" w:cs="宋体"/>
          <w:color w:val="auto"/>
          <w:spacing w:val="8"/>
          <w:sz w:val="20"/>
          <w:highlight w:val="none"/>
        </w:rPr>
        <w:t xml:space="preserve">   </w:t>
      </w:r>
      <w:r>
        <w:rPr>
          <w:rFonts w:ascii="宋体" w:hAnsi="宋体" w:cs="宋体"/>
          <w:color w:val="auto"/>
          <w:spacing w:val="8"/>
          <w:sz w:val="20"/>
          <w:highlight w:val="none"/>
        </w:rPr>
        <w:t>日</w:t>
      </w:r>
    </w:p>
    <w:p w14:paraId="29540001">
      <w:pPr>
        <w:pStyle w:val="3"/>
        <w:ind w:left="0"/>
        <w:jc w:val="center"/>
        <w:rPr>
          <w:rFonts w:hint="default" w:cs="宋体"/>
          <w:bCs/>
          <w:color w:val="auto"/>
          <w:sz w:val="28"/>
          <w:szCs w:val="21"/>
          <w:highlight w:val="none"/>
        </w:rPr>
      </w:pPr>
      <w:r>
        <w:rPr>
          <w:rFonts w:cs="宋体"/>
          <w:color w:val="auto"/>
          <w:sz w:val="21"/>
          <w:highlight w:val="none"/>
        </w:rPr>
        <w:br w:type="page"/>
      </w:r>
      <w:bookmarkStart w:id="40" w:name="_Toc10290"/>
      <w:r>
        <w:rPr>
          <w:rFonts w:cs="宋体"/>
          <w:color w:val="auto"/>
          <w:sz w:val="32"/>
          <w:szCs w:val="32"/>
          <w:highlight w:val="none"/>
        </w:rPr>
        <w:t>二、</w:t>
      </w:r>
      <w:bookmarkEnd w:id="40"/>
      <w:r>
        <w:rPr>
          <w:rFonts w:cs="宋体"/>
          <w:color w:val="auto"/>
          <w:sz w:val="32"/>
          <w:szCs w:val="32"/>
          <w:highlight w:val="none"/>
        </w:rPr>
        <w:t>法定代表人（单位负责人）身份证明或授权委托书</w:t>
      </w:r>
    </w:p>
    <w:p w14:paraId="70DC71B9">
      <w:pPr>
        <w:pStyle w:val="12"/>
        <w:kinsoku w:val="0"/>
        <w:overflowPunct w:val="0"/>
        <w:spacing w:before="0" w:line="360" w:lineRule="auto"/>
        <w:ind w:left="0"/>
        <w:jc w:val="center"/>
        <w:rPr>
          <w:rFonts w:hint="default" w:cs="宋体"/>
          <w:color w:val="auto"/>
          <w:sz w:val="32"/>
          <w:szCs w:val="32"/>
          <w:highlight w:val="none"/>
        </w:rPr>
      </w:pPr>
    </w:p>
    <w:p w14:paraId="38EA8032">
      <w:pPr>
        <w:pStyle w:val="12"/>
        <w:widowControl/>
        <w:kinsoku w:val="0"/>
        <w:overflowPunct w:val="0"/>
        <w:autoSpaceDE/>
        <w:autoSpaceDN/>
        <w:adjustRightInd/>
        <w:spacing w:before="0" w:line="360" w:lineRule="auto"/>
        <w:ind w:left="0"/>
        <w:jc w:val="center"/>
        <w:rPr>
          <w:rFonts w:hint="default" w:cs="宋体"/>
          <w:color w:val="auto"/>
          <w:highlight w:val="none"/>
        </w:rPr>
      </w:pPr>
      <w:r>
        <w:rPr>
          <w:rFonts w:cs="宋体"/>
          <w:color w:val="auto"/>
          <w:sz w:val="28"/>
          <w:szCs w:val="28"/>
          <w:highlight w:val="none"/>
        </w:rPr>
        <w:t>（一）授权委托书（如果有）</w:t>
      </w:r>
    </w:p>
    <w:p w14:paraId="2EDEBF8B">
      <w:pPr>
        <w:pStyle w:val="12"/>
        <w:kinsoku w:val="0"/>
        <w:overflowPunct w:val="0"/>
        <w:spacing w:before="36" w:line="360" w:lineRule="auto"/>
        <w:ind w:left="0" w:right="89" w:firstLine="420" w:firstLineChars="200"/>
        <w:rPr>
          <w:rFonts w:hint="default" w:cs="宋体"/>
          <w:color w:val="auto"/>
          <w:highlight w:val="none"/>
        </w:rPr>
      </w:pPr>
      <w:r>
        <w:rPr>
          <w:rFonts w:cs="宋体"/>
          <w:color w:val="auto"/>
          <w:highlight w:val="none"/>
        </w:rPr>
        <w:t>本人</w:t>
      </w:r>
      <w:r>
        <w:rPr>
          <w:rFonts w:cs="宋体"/>
          <w:color w:val="auto"/>
          <w:highlight w:val="none"/>
          <w:u w:val="single"/>
        </w:rPr>
        <w:t xml:space="preserve">       </w:t>
      </w:r>
      <w:r>
        <w:rPr>
          <w:rFonts w:cs="宋体"/>
          <w:color w:val="auto"/>
          <w:highlight w:val="none"/>
        </w:rPr>
        <w:t>（姓名）系</w:t>
      </w:r>
      <w:r>
        <w:rPr>
          <w:rFonts w:cs="宋体"/>
          <w:color w:val="auto"/>
          <w:szCs w:val="22"/>
          <w:highlight w:val="none"/>
          <w:u w:val="single"/>
        </w:rPr>
        <w:t xml:space="preserve">          </w:t>
      </w:r>
      <w:r>
        <w:rPr>
          <w:rFonts w:cs="宋体"/>
          <w:color w:val="auto"/>
          <w:highlight w:val="none"/>
        </w:rPr>
        <w:t>（比选人名称）的法定代表人，现委托</w:t>
      </w:r>
      <w:r>
        <w:rPr>
          <w:rFonts w:cs="宋体"/>
          <w:color w:val="auto"/>
          <w:highlight w:val="none"/>
          <w:u w:val="single"/>
        </w:rPr>
        <w:t xml:space="preserve">        </w:t>
      </w:r>
      <w:r>
        <w:rPr>
          <w:rFonts w:cs="宋体"/>
          <w:color w:val="auto"/>
          <w:highlight w:val="none"/>
        </w:rPr>
        <w:t>（姓名）为我方代理人。代理人根据授权，以我方名义签署、澄清确认、递交、撤回、修改</w:t>
      </w:r>
      <w:r>
        <w:rPr>
          <w:rFonts w:cs="宋体"/>
          <w:color w:val="auto"/>
          <w:highlight w:val="none"/>
          <w:u w:val="single"/>
        </w:rPr>
        <w:t xml:space="preserve">  （项目名称）  </w:t>
      </w:r>
      <w:r>
        <w:rPr>
          <w:rFonts w:cs="宋体"/>
          <w:color w:val="auto"/>
          <w:highlight w:val="none"/>
        </w:rPr>
        <w:t>第</w:t>
      </w:r>
      <w:r>
        <w:rPr>
          <w:rFonts w:cs="宋体"/>
          <w:color w:val="auto"/>
          <w:highlight w:val="none"/>
          <w:u w:val="single"/>
        </w:rPr>
        <w:t xml:space="preserve">   </w:t>
      </w:r>
      <w:r>
        <w:rPr>
          <w:rFonts w:cs="宋体"/>
          <w:color w:val="auto"/>
          <w:highlight w:val="none"/>
        </w:rPr>
        <w:t>标段招选文件、签订合同和处理有关事宜，其法律后果由我方承担。</w:t>
      </w:r>
    </w:p>
    <w:p w14:paraId="63D6A9AF">
      <w:pPr>
        <w:pStyle w:val="12"/>
        <w:kinsoku w:val="0"/>
        <w:overflowPunct w:val="0"/>
        <w:spacing w:before="30" w:line="360" w:lineRule="auto"/>
        <w:ind w:left="0" w:right="89" w:firstLine="420" w:firstLineChars="200"/>
        <w:rPr>
          <w:rFonts w:hint="default" w:cs="宋体"/>
          <w:color w:val="auto"/>
          <w:highlight w:val="none"/>
        </w:rPr>
      </w:pPr>
      <w:r>
        <w:rPr>
          <w:rFonts w:cs="宋体"/>
          <w:color w:val="auto"/>
          <w:highlight w:val="none"/>
        </w:rPr>
        <w:t>委托期限：自本委托书签署之日起至比选有效期满。</w:t>
      </w:r>
    </w:p>
    <w:p w14:paraId="72B2F08C">
      <w:pPr>
        <w:pStyle w:val="12"/>
        <w:kinsoku w:val="0"/>
        <w:overflowPunct w:val="0"/>
        <w:spacing w:line="360" w:lineRule="auto"/>
        <w:ind w:left="0" w:right="89" w:firstLine="420" w:firstLineChars="200"/>
        <w:rPr>
          <w:rFonts w:hint="default" w:cs="宋体"/>
          <w:color w:val="auto"/>
          <w:highlight w:val="none"/>
        </w:rPr>
      </w:pPr>
      <w:r>
        <w:rPr>
          <w:rFonts w:cs="宋体"/>
          <w:color w:val="auto"/>
          <w:highlight w:val="none"/>
        </w:rPr>
        <w:t>代理人无转委托权。</w:t>
      </w:r>
    </w:p>
    <w:p w14:paraId="36426800">
      <w:pPr>
        <w:pStyle w:val="12"/>
        <w:kinsoku w:val="0"/>
        <w:overflowPunct w:val="0"/>
        <w:spacing w:line="360" w:lineRule="auto"/>
        <w:ind w:left="0" w:right="89"/>
        <w:rPr>
          <w:rFonts w:hint="default" w:cs="宋体"/>
          <w:color w:val="auto"/>
          <w:highlight w:val="none"/>
        </w:rPr>
      </w:pPr>
    </w:p>
    <w:p w14:paraId="2B2DDE25">
      <w:pPr>
        <w:pStyle w:val="12"/>
        <w:kinsoku w:val="0"/>
        <w:overflowPunct w:val="0"/>
        <w:spacing w:line="360" w:lineRule="auto"/>
        <w:ind w:left="0" w:right="89"/>
        <w:rPr>
          <w:rFonts w:hint="default" w:cs="宋体"/>
          <w:color w:val="auto"/>
          <w:highlight w:val="none"/>
        </w:rPr>
      </w:pPr>
      <w:r>
        <w:rPr>
          <w:rFonts w:cs="宋体"/>
          <w:color w:val="auto"/>
          <w:highlight w:val="none"/>
        </w:rPr>
        <w:t>附：法定代表人和委托代理人的身份证影印件（彩色或黑白）。</w:t>
      </w:r>
    </w:p>
    <w:p w14:paraId="3C4782BA">
      <w:pPr>
        <w:pStyle w:val="12"/>
        <w:kinsoku w:val="0"/>
        <w:overflowPunct w:val="0"/>
        <w:spacing w:before="0" w:line="360" w:lineRule="auto"/>
        <w:ind w:left="0"/>
        <w:rPr>
          <w:rFonts w:hint="default" w:cs="宋体"/>
          <w:color w:val="auto"/>
          <w:sz w:val="20"/>
          <w:highlight w:val="none"/>
        </w:rPr>
      </w:pPr>
    </w:p>
    <w:p w14:paraId="0EB145E5">
      <w:pPr>
        <w:pStyle w:val="12"/>
        <w:kinsoku w:val="0"/>
        <w:overflowPunct w:val="0"/>
        <w:spacing w:before="0" w:line="360" w:lineRule="auto"/>
        <w:ind w:left="0"/>
        <w:rPr>
          <w:rFonts w:hint="default" w:cs="宋体"/>
          <w:color w:val="auto"/>
          <w:sz w:val="20"/>
          <w:highlight w:val="none"/>
        </w:rPr>
      </w:pPr>
    </w:p>
    <w:p w14:paraId="42C2766A">
      <w:pPr>
        <w:pStyle w:val="12"/>
        <w:kinsoku w:val="0"/>
        <w:overflowPunct w:val="0"/>
        <w:spacing w:before="1" w:line="360" w:lineRule="auto"/>
        <w:ind w:left="0"/>
        <w:rPr>
          <w:rFonts w:hint="default" w:cs="宋体"/>
          <w:color w:val="auto"/>
          <w:sz w:val="15"/>
          <w:highlight w:val="none"/>
        </w:rPr>
      </w:pPr>
    </w:p>
    <w:p w14:paraId="74316B9D">
      <w:pPr>
        <w:pStyle w:val="12"/>
        <w:kinsoku w:val="0"/>
        <w:overflowPunct w:val="0"/>
        <w:spacing w:before="0" w:line="360" w:lineRule="auto"/>
        <w:ind w:left="5040" w:right="140" w:firstLine="14"/>
        <w:rPr>
          <w:rFonts w:hint="default" w:cs="宋体"/>
          <w:bCs/>
          <w:color w:val="auto"/>
          <w:highlight w:val="none"/>
        </w:rPr>
      </w:pPr>
      <w:r>
        <w:rPr>
          <w:rFonts w:cs="宋体"/>
          <w:bCs/>
          <w:color w:val="auto"/>
          <w:highlight w:val="none"/>
        </w:rPr>
        <w:t>比 选  人：</w:t>
      </w:r>
      <w:r>
        <w:rPr>
          <w:rFonts w:cs="宋体"/>
          <w:bCs/>
          <w:color w:val="auto"/>
          <w:highlight w:val="none"/>
          <w:u w:val="single"/>
        </w:rPr>
        <w:t xml:space="preserve">    （全称）     </w:t>
      </w:r>
      <w:r>
        <w:rPr>
          <w:rFonts w:cs="宋体"/>
          <w:bCs/>
          <w:color w:val="auto"/>
          <w:highlight w:val="none"/>
        </w:rPr>
        <w:t>（盖单位章）</w:t>
      </w:r>
    </w:p>
    <w:p w14:paraId="47A48EAC">
      <w:pPr>
        <w:pStyle w:val="12"/>
        <w:kinsoku w:val="0"/>
        <w:overflowPunct w:val="0"/>
        <w:spacing w:before="0" w:line="360" w:lineRule="auto"/>
        <w:ind w:left="5040" w:right="140" w:firstLine="14"/>
        <w:rPr>
          <w:rFonts w:hint="default" w:cs="宋体"/>
          <w:bCs/>
          <w:color w:val="auto"/>
          <w:highlight w:val="none"/>
        </w:rPr>
      </w:pPr>
      <w:r>
        <w:rPr>
          <w:rFonts w:cs="宋体"/>
          <w:bCs/>
          <w:color w:val="auto"/>
          <w:highlight w:val="none"/>
        </w:rPr>
        <w:t>法定代表人：</w:t>
      </w:r>
      <w:r>
        <w:rPr>
          <w:rFonts w:cs="宋体"/>
          <w:bCs/>
          <w:color w:val="auto"/>
          <w:highlight w:val="none"/>
          <w:u w:val="single"/>
        </w:rPr>
        <w:t xml:space="preserve">                    </w:t>
      </w:r>
      <w:r>
        <w:rPr>
          <w:rFonts w:cs="宋体"/>
          <w:bCs/>
          <w:color w:val="auto"/>
          <w:highlight w:val="none"/>
        </w:rPr>
        <w:t>（签字）</w:t>
      </w:r>
    </w:p>
    <w:p w14:paraId="3E48B8DC">
      <w:pPr>
        <w:pStyle w:val="12"/>
        <w:kinsoku w:val="0"/>
        <w:overflowPunct w:val="0"/>
        <w:spacing w:before="0" w:line="360" w:lineRule="auto"/>
        <w:ind w:left="5040" w:right="140" w:firstLine="14"/>
        <w:rPr>
          <w:rFonts w:hint="default" w:cs="宋体"/>
          <w:bCs/>
          <w:color w:val="auto"/>
          <w:highlight w:val="none"/>
          <w:u w:val="single"/>
        </w:rPr>
      </w:pPr>
      <w:r>
        <w:rPr>
          <w:rFonts w:cs="宋体"/>
          <w:bCs/>
          <w:color w:val="auto"/>
          <w:highlight w:val="none"/>
        </w:rPr>
        <w:t>身份证号码：</w:t>
      </w:r>
      <w:r>
        <w:rPr>
          <w:rFonts w:cs="宋体"/>
          <w:bCs/>
          <w:color w:val="auto"/>
          <w:highlight w:val="none"/>
          <w:u w:val="single"/>
        </w:rPr>
        <w:t xml:space="preserve">                             </w:t>
      </w:r>
    </w:p>
    <w:p w14:paraId="398AB638">
      <w:pPr>
        <w:pStyle w:val="12"/>
        <w:kinsoku w:val="0"/>
        <w:overflowPunct w:val="0"/>
        <w:spacing w:before="0" w:line="360" w:lineRule="auto"/>
        <w:ind w:left="5040" w:right="140" w:firstLine="14"/>
        <w:rPr>
          <w:rFonts w:hint="default" w:cs="宋体"/>
          <w:bCs/>
          <w:color w:val="auto"/>
          <w:highlight w:val="none"/>
        </w:rPr>
      </w:pPr>
      <w:r>
        <w:rPr>
          <w:rFonts w:cs="宋体"/>
          <w:bCs/>
          <w:color w:val="auto"/>
          <w:highlight w:val="none"/>
        </w:rPr>
        <w:t>委托代理人：</w:t>
      </w:r>
      <w:r>
        <w:rPr>
          <w:rFonts w:cs="宋体"/>
          <w:bCs/>
          <w:color w:val="auto"/>
          <w:highlight w:val="none"/>
          <w:u w:val="single"/>
        </w:rPr>
        <w:t xml:space="preserve">                    </w:t>
      </w:r>
      <w:r>
        <w:rPr>
          <w:rFonts w:cs="宋体"/>
          <w:bCs/>
          <w:color w:val="auto"/>
          <w:highlight w:val="none"/>
        </w:rPr>
        <w:t>（签字）</w:t>
      </w:r>
    </w:p>
    <w:p w14:paraId="2BE677E6">
      <w:pPr>
        <w:pStyle w:val="12"/>
        <w:kinsoku w:val="0"/>
        <w:overflowPunct w:val="0"/>
        <w:spacing w:before="0" w:line="360" w:lineRule="auto"/>
        <w:ind w:left="5040" w:right="140" w:firstLine="14"/>
        <w:rPr>
          <w:rFonts w:hint="default" w:cs="宋体"/>
          <w:bCs/>
          <w:color w:val="auto"/>
          <w:highlight w:val="none"/>
        </w:rPr>
      </w:pPr>
      <w:r>
        <w:rPr>
          <w:rFonts w:cs="宋体"/>
          <w:bCs/>
          <w:color w:val="auto"/>
          <w:highlight w:val="none"/>
        </w:rPr>
        <w:t>身份证号码：</w:t>
      </w:r>
      <w:r>
        <w:rPr>
          <w:rFonts w:cs="宋体"/>
          <w:bCs/>
          <w:color w:val="auto"/>
          <w:highlight w:val="none"/>
          <w:u w:val="single"/>
        </w:rPr>
        <w:t xml:space="preserve">                             </w:t>
      </w:r>
    </w:p>
    <w:p w14:paraId="69F5DB91">
      <w:pPr>
        <w:pStyle w:val="12"/>
        <w:kinsoku w:val="0"/>
        <w:overflowPunct w:val="0"/>
        <w:spacing w:before="36" w:line="360" w:lineRule="auto"/>
        <w:ind w:left="784"/>
        <w:jc w:val="right"/>
        <w:rPr>
          <w:rFonts w:hint="default" w:cs="宋体"/>
          <w:bCs/>
          <w:color w:val="auto"/>
          <w:highlight w:val="none"/>
        </w:rPr>
      </w:pPr>
      <w:r>
        <w:rPr>
          <w:rFonts w:cs="宋体"/>
          <w:color w:val="auto"/>
          <w:szCs w:val="22"/>
          <w:highlight w:val="none"/>
          <w:u w:val="single"/>
        </w:rPr>
        <w:t xml:space="preserve">     </w:t>
      </w:r>
      <w:r>
        <w:rPr>
          <w:rFonts w:cs="宋体"/>
          <w:color w:val="auto"/>
          <w:szCs w:val="22"/>
          <w:highlight w:val="none"/>
        </w:rPr>
        <w:t>年</w:t>
      </w:r>
      <w:r>
        <w:rPr>
          <w:rFonts w:cs="宋体"/>
          <w:color w:val="auto"/>
          <w:szCs w:val="22"/>
          <w:highlight w:val="none"/>
          <w:u w:val="single"/>
        </w:rPr>
        <w:t xml:space="preserve">    </w:t>
      </w:r>
      <w:r>
        <w:rPr>
          <w:rFonts w:cs="宋体"/>
          <w:color w:val="auto"/>
          <w:szCs w:val="22"/>
          <w:highlight w:val="none"/>
        </w:rPr>
        <w:t>月</w:t>
      </w:r>
      <w:r>
        <w:rPr>
          <w:rFonts w:cs="宋体"/>
          <w:color w:val="auto"/>
          <w:szCs w:val="22"/>
          <w:highlight w:val="none"/>
          <w:u w:val="single"/>
        </w:rPr>
        <w:t xml:space="preserve">    </w:t>
      </w:r>
      <w:r>
        <w:rPr>
          <w:rFonts w:cs="宋体"/>
          <w:color w:val="auto"/>
          <w:szCs w:val="22"/>
          <w:highlight w:val="none"/>
        </w:rPr>
        <w:t>日</w:t>
      </w:r>
    </w:p>
    <w:p w14:paraId="6A859EDF">
      <w:pPr>
        <w:pStyle w:val="12"/>
        <w:kinsoku w:val="0"/>
        <w:overflowPunct w:val="0"/>
        <w:spacing w:before="174" w:line="360" w:lineRule="exact"/>
        <w:ind w:left="153"/>
        <w:rPr>
          <w:rFonts w:hint="default" w:cs="宋体"/>
          <w:color w:val="auto"/>
          <w:highlight w:val="none"/>
        </w:rPr>
      </w:pPr>
      <w:r>
        <w:rPr>
          <w:rFonts w:cs="宋体"/>
          <w:color w:val="auto"/>
          <w:highlight w:val="none"/>
        </w:rPr>
        <w:t>注：</w:t>
      </w:r>
    </w:p>
    <w:p w14:paraId="1DB2D8E2">
      <w:pPr>
        <w:pStyle w:val="12"/>
        <w:kinsoku w:val="0"/>
        <w:overflowPunct w:val="0"/>
        <w:spacing w:before="174" w:line="360" w:lineRule="exact"/>
        <w:ind w:left="153" w:firstLine="420" w:firstLineChars="200"/>
        <w:rPr>
          <w:rFonts w:hint="default" w:cs="宋体"/>
          <w:color w:val="auto"/>
          <w:szCs w:val="22"/>
          <w:highlight w:val="none"/>
        </w:rPr>
      </w:pPr>
      <w:r>
        <w:rPr>
          <w:rFonts w:cs="宋体"/>
          <w:color w:val="auto"/>
          <w:szCs w:val="22"/>
          <w:highlight w:val="none"/>
        </w:rPr>
        <w:t>1.如果由比选人的授权委托代理人签署比选文件，则需提交授权委托书，同时提交法定代表人身份证明）；</w:t>
      </w:r>
    </w:p>
    <w:p w14:paraId="000E252C">
      <w:pPr>
        <w:pStyle w:val="12"/>
        <w:kinsoku w:val="0"/>
        <w:overflowPunct w:val="0"/>
        <w:spacing w:before="174" w:line="360" w:lineRule="exact"/>
        <w:ind w:left="153" w:firstLine="420" w:firstLineChars="200"/>
        <w:rPr>
          <w:rFonts w:hint="default" w:cs="宋体"/>
          <w:color w:val="auto"/>
          <w:szCs w:val="22"/>
          <w:highlight w:val="none"/>
        </w:rPr>
      </w:pPr>
      <w:r>
        <w:rPr>
          <w:rFonts w:cs="宋体"/>
          <w:color w:val="auto"/>
          <w:szCs w:val="22"/>
          <w:highlight w:val="none"/>
        </w:rPr>
        <w:t>2.法定代表人和委托代理人必须在授权委托书上亲笔签名，不得使用印章、签名章或其他电子制版签名代替；</w:t>
      </w:r>
    </w:p>
    <w:p w14:paraId="6301E88B">
      <w:pPr>
        <w:pStyle w:val="12"/>
        <w:kinsoku w:val="0"/>
        <w:overflowPunct w:val="0"/>
        <w:spacing w:before="174" w:line="360" w:lineRule="exact"/>
        <w:ind w:left="153" w:firstLine="420" w:firstLineChars="200"/>
        <w:rPr>
          <w:rFonts w:hint="default" w:cs="宋体"/>
          <w:color w:val="auto"/>
          <w:szCs w:val="22"/>
          <w:highlight w:val="none"/>
        </w:rPr>
      </w:pPr>
      <w:r>
        <w:rPr>
          <w:rFonts w:cs="宋体"/>
          <w:color w:val="auto"/>
          <w:szCs w:val="22"/>
          <w:highlight w:val="none"/>
        </w:rPr>
        <w:t>3.委托代理人只能是一个人，且不能再授予他人，否则其授权无效；</w:t>
      </w:r>
    </w:p>
    <w:p w14:paraId="08691ED9">
      <w:pPr>
        <w:pStyle w:val="12"/>
        <w:kinsoku w:val="0"/>
        <w:overflowPunct w:val="0"/>
        <w:spacing w:before="174" w:line="360" w:lineRule="exact"/>
        <w:ind w:left="153" w:firstLine="420" w:firstLineChars="200"/>
        <w:rPr>
          <w:rFonts w:hint="default" w:cs="宋体"/>
          <w:color w:val="auto"/>
          <w:szCs w:val="22"/>
          <w:highlight w:val="none"/>
        </w:rPr>
      </w:pPr>
      <w:r>
        <w:rPr>
          <w:rFonts w:cs="宋体"/>
          <w:color w:val="auto"/>
          <w:szCs w:val="22"/>
          <w:highlight w:val="none"/>
        </w:rPr>
        <w:t>4.授权委托书应附法定代表人和委托代理人身份证复印件（黑白或彩色）并加盖比选人单位章，且身份证复印件应清晰、有效。</w:t>
      </w:r>
    </w:p>
    <w:p w14:paraId="5770806D">
      <w:pPr>
        <w:pStyle w:val="12"/>
        <w:kinsoku w:val="0"/>
        <w:overflowPunct w:val="0"/>
        <w:spacing w:before="174" w:line="360" w:lineRule="exact"/>
        <w:ind w:left="153" w:firstLine="420" w:firstLineChars="200"/>
        <w:rPr>
          <w:rFonts w:hint="default" w:cs="宋体"/>
          <w:color w:val="auto"/>
          <w:szCs w:val="22"/>
          <w:highlight w:val="none"/>
        </w:rPr>
      </w:pPr>
      <w:r>
        <w:rPr>
          <w:rFonts w:cs="宋体"/>
          <w:color w:val="auto"/>
          <w:szCs w:val="22"/>
          <w:highlight w:val="none"/>
        </w:rPr>
        <w:t>5.授权委托书的时间应与法定代表人或其委托代理人签署比选函的时间同日或在其之前。</w:t>
      </w:r>
    </w:p>
    <w:p w14:paraId="42B1372D">
      <w:pPr>
        <w:pStyle w:val="12"/>
        <w:kinsoku w:val="0"/>
        <w:overflowPunct w:val="0"/>
        <w:spacing w:before="174" w:line="360" w:lineRule="auto"/>
        <w:ind w:left="153"/>
        <w:rPr>
          <w:rFonts w:hint="default" w:cs="宋体"/>
          <w:color w:val="auto"/>
          <w:highlight w:val="none"/>
        </w:rPr>
      </w:pPr>
    </w:p>
    <w:p w14:paraId="443070E3">
      <w:pPr>
        <w:pStyle w:val="12"/>
        <w:kinsoku w:val="0"/>
        <w:overflowPunct w:val="0"/>
        <w:spacing w:before="174" w:line="360" w:lineRule="auto"/>
        <w:ind w:left="153"/>
        <w:rPr>
          <w:rFonts w:hint="default" w:cs="宋体"/>
          <w:color w:val="auto"/>
          <w:highlight w:val="none"/>
        </w:rPr>
        <w:sectPr>
          <w:footerReference r:id="rId19" w:type="default"/>
          <w:type w:val="continuous"/>
          <w:pgSz w:w="11900" w:h="16840"/>
          <w:pgMar w:top="1440" w:right="1080" w:bottom="1440" w:left="1080" w:header="720" w:footer="720" w:gutter="0"/>
          <w:cols w:space="720" w:num="1"/>
        </w:sectPr>
      </w:pPr>
    </w:p>
    <w:p w14:paraId="2071C5C9">
      <w:pPr>
        <w:pStyle w:val="12"/>
        <w:kinsoku w:val="0"/>
        <w:overflowPunct w:val="0"/>
        <w:spacing w:before="6" w:line="360" w:lineRule="auto"/>
        <w:ind w:left="0"/>
        <w:rPr>
          <w:rFonts w:hint="default" w:cs="宋体"/>
          <w:color w:val="auto"/>
          <w:sz w:val="18"/>
          <w:highlight w:val="none"/>
        </w:rPr>
      </w:pPr>
    </w:p>
    <w:p w14:paraId="0F3829F0">
      <w:pPr>
        <w:spacing w:line="360" w:lineRule="auto"/>
        <w:jc w:val="center"/>
        <w:rPr>
          <w:rFonts w:ascii="宋体" w:hAnsi="宋体" w:cs="宋体"/>
          <w:b/>
          <w:bCs/>
          <w:color w:val="auto"/>
          <w:sz w:val="28"/>
          <w:szCs w:val="21"/>
          <w:highlight w:val="none"/>
        </w:rPr>
      </w:pPr>
      <w:r>
        <w:rPr>
          <w:rFonts w:hint="eastAsia" w:ascii="宋体" w:hAnsi="宋体" w:cs="宋体"/>
          <w:b/>
          <w:bCs/>
          <w:color w:val="auto"/>
          <w:sz w:val="28"/>
          <w:szCs w:val="21"/>
          <w:highlight w:val="none"/>
        </w:rPr>
        <w:t>（二）法定代表人身份证明</w:t>
      </w:r>
    </w:p>
    <w:p w14:paraId="2A8958BF">
      <w:pPr>
        <w:pStyle w:val="12"/>
        <w:kinsoku w:val="0"/>
        <w:overflowPunct w:val="0"/>
        <w:spacing w:before="0" w:line="360" w:lineRule="auto"/>
        <w:ind w:left="0"/>
        <w:rPr>
          <w:rFonts w:hint="default" w:cs="宋体"/>
          <w:color w:val="auto"/>
          <w:sz w:val="20"/>
          <w:highlight w:val="none"/>
        </w:rPr>
      </w:pPr>
    </w:p>
    <w:p w14:paraId="53D1833B">
      <w:pPr>
        <w:pStyle w:val="12"/>
        <w:kinsoku w:val="0"/>
        <w:overflowPunct w:val="0"/>
        <w:spacing w:before="4" w:line="360" w:lineRule="auto"/>
        <w:ind w:left="0"/>
        <w:rPr>
          <w:rFonts w:hint="default" w:cs="宋体"/>
          <w:color w:val="auto"/>
          <w:sz w:val="19"/>
          <w:highlight w:val="none"/>
        </w:rPr>
      </w:pPr>
    </w:p>
    <w:p w14:paraId="745A4C1C">
      <w:pPr>
        <w:pStyle w:val="12"/>
        <w:kinsoku w:val="0"/>
        <w:overflowPunct w:val="0"/>
        <w:spacing w:before="36" w:line="360" w:lineRule="auto"/>
        <w:ind w:left="153"/>
        <w:rPr>
          <w:rFonts w:hint="default" w:cs="宋体"/>
          <w:color w:val="auto"/>
          <w:highlight w:val="none"/>
        </w:rPr>
      </w:pPr>
      <w:r>
        <w:rPr>
          <w:rFonts w:cs="宋体"/>
          <w:color w:val="auto"/>
          <w:highlight w:val="none"/>
        </w:rPr>
        <w:t>比选人名称：</w:t>
      </w:r>
      <w:r>
        <w:rPr>
          <w:rFonts w:cs="宋体"/>
          <w:color w:val="auto"/>
          <w:highlight w:val="none"/>
          <w:u w:val="single"/>
        </w:rPr>
        <w:t xml:space="preserve">           （全称）                 </w:t>
      </w:r>
    </w:p>
    <w:p w14:paraId="016BCB2F">
      <w:pPr>
        <w:pStyle w:val="12"/>
        <w:kinsoku w:val="0"/>
        <w:overflowPunct w:val="0"/>
        <w:spacing w:before="36" w:line="360" w:lineRule="auto"/>
        <w:ind w:left="153"/>
        <w:rPr>
          <w:rFonts w:hint="default" w:cs="宋体"/>
          <w:color w:val="auto"/>
          <w:highlight w:val="none"/>
          <w:u w:val="single"/>
        </w:rPr>
      </w:pPr>
      <w:r>
        <w:rPr>
          <w:rFonts w:cs="宋体"/>
          <w:color w:val="auto"/>
          <w:highlight w:val="none"/>
        </w:rPr>
        <w:t>姓名：</w:t>
      </w:r>
      <w:r>
        <w:rPr>
          <w:rFonts w:cs="宋体"/>
          <w:color w:val="auto"/>
          <w:highlight w:val="none"/>
          <w:u w:val="single"/>
        </w:rPr>
        <w:t>（法定代表人亲笔签字）</w:t>
      </w:r>
      <w:r>
        <w:rPr>
          <w:rFonts w:cs="宋体"/>
          <w:color w:val="auto"/>
          <w:highlight w:val="none"/>
        </w:rPr>
        <w:t>性别：</w:t>
      </w:r>
      <w:r>
        <w:rPr>
          <w:rFonts w:cs="宋体"/>
          <w:color w:val="auto"/>
          <w:highlight w:val="none"/>
          <w:u w:val="single"/>
        </w:rPr>
        <w:t xml:space="preserve">         </w:t>
      </w:r>
      <w:r>
        <w:rPr>
          <w:rFonts w:cs="宋体"/>
          <w:color w:val="auto"/>
          <w:highlight w:val="none"/>
        </w:rPr>
        <w:t>年龄：</w:t>
      </w:r>
      <w:r>
        <w:rPr>
          <w:rFonts w:cs="宋体"/>
          <w:color w:val="auto"/>
          <w:highlight w:val="none"/>
          <w:u w:val="single"/>
        </w:rPr>
        <w:t xml:space="preserve">         </w:t>
      </w:r>
      <w:r>
        <w:rPr>
          <w:rFonts w:cs="宋体"/>
          <w:color w:val="auto"/>
          <w:highlight w:val="none"/>
        </w:rPr>
        <w:t>职务：</w:t>
      </w:r>
      <w:r>
        <w:rPr>
          <w:rFonts w:cs="宋体"/>
          <w:color w:val="auto"/>
          <w:highlight w:val="none"/>
          <w:u w:val="single"/>
        </w:rPr>
        <w:t xml:space="preserve">         </w:t>
      </w:r>
    </w:p>
    <w:p w14:paraId="1ED4F929">
      <w:pPr>
        <w:pStyle w:val="12"/>
        <w:kinsoku w:val="0"/>
        <w:overflowPunct w:val="0"/>
        <w:spacing w:before="36" w:line="360" w:lineRule="auto"/>
        <w:ind w:left="153"/>
        <w:rPr>
          <w:rFonts w:hint="default" w:cs="宋体"/>
          <w:color w:val="auto"/>
          <w:highlight w:val="none"/>
        </w:rPr>
      </w:pPr>
      <w:r>
        <w:rPr>
          <w:rFonts w:cs="宋体"/>
          <w:color w:val="auto"/>
          <w:highlight w:val="none"/>
        </w:rPr>
        <w:t>系</w:t>
      </w:r>
      <w:r>
        <w:rPr>
          <w:rFonts w:cs="宋体"/>
          <w:color w:val="auto"/>
          <w:highlight w:val="none"/>
          <w:u w:val="single"/>
        </w:rPr>
        <w:t xml:space="preserve">         </w:t>
      </w:r>
      <w:r>
        <w:rPr>
          <w:rFonts w:cs="宋体"/>
          <w:color w:val="auto"/>
          <w:highlight w:val="none"/>
        </w:rPr>
        <w:t>（比选人名称）的法定代表人。</w:t>
      </w:r>
    </w:p>
    <w:p w14:paraId="3F2E30FB">
      <w:pPr>
        <w:pStyle w:val="12"/>
        <w:kinsoku w:val="0"/>
        <w:overflowPunct w:val="0"/>
        <w:spacing w:before="9" w:line="360" w:lineRule="auto"/>
        <w:ind w:left="0"/>
        <w:rPr>
          <w:rFonts w:hint="default" w:cs="宋体"/>
          <w:color w:val="auto"/>
          <w:sz w:val="17"/>
          <w:highlight w:val="none"/>
        </w:rPr>
      </w:pPr>
    </w:p>
    <w:p w14:paraId="094A29DA">
      <w:pPr>
        <w:pStyle w:val="12"/>
        <w:kinsoku w:val="0"/>
        <w:overflowPunct w:val="0"/>
        <w:spacing w:before="36" w:line="360" w:lineRule="auto"/>
        <w:rPr>
          <w:rFonts w:hint="default" w:cs="宋体"/>
          <w:color w:val="auto"/>
          <w:highlight w:val="none"/>
        </w:rPr>
      </w:pPr>
      <w:r>
        <w:rPr>
          <w:rFonts w:cs="宋体"/>
          <w:color w:val="auto"/>
          <w:highlight w:val="none"/>
        </w:rPr>
        <w:t>特此证明。</w:t>
      </w:r>
    </w:p>
    <w:p w14:paraId="0938ACEC">
      <w:pPr>
        <w:pStyle w:val="12"/>
        <w:kinsoku w:val="0"/>
        <w:overflowPunct w:val="0"/>
        <w:spacing w:line="360" w:lineRule="auto"/>
        <w:rPr>
          <w:rFonts w:hint="default" w:cs="宋体"/>
          <w:color w:val="auto"/>
          <w:highlight w:val="none"/>
        </w:rPr>
      </w:pPr>
      <w:r>
        <w:rPr>
          <w:rFonts w:cs="宋体"/>
          <w:color w:val="auto"/>
          <w:highlight w:val="none"/>
        </w:rPr>
        <w:t>附：法定代表人身份证影印件（彩色或黑白）。</w:t>
      </w:r>
    </w:p>
    <w:p w14:paraId="09B6FF45">
      <w:pPr>
        <w:pStyle w:val="12"/>
        <w:kinsoku w:val="0"/>
        <w:overflowPunct w:val="0"/>
        <w:spacing w:line="360" w:lineRule="auto"/>
        <w:ind w:left="4053" w:firstLine="1705" w:firstLineChars="812"/>
        <w:rPr>
          <w:rFonts w:hint="default" w:cs="宋体"/>
          <w:bCs/>
          <w:color w:val="auto"/>
          <w:highlight w:val="none"/>
        </w:rPr>
      </w:pPr>
    </w:p>
    <w:p w14:paraId="6C06D25C">
      <w:pPr>
        <w:pStyle w:val="12"/>
        <w:kinsoku w:val="0"/>
        <w:overflowPunct w:val="0"/>
        <w:spacing w:line="360" w:lineRule="auto"/>
        <w:ind w:left="4053" w:firstLine="1705" w:firstLineChars="812"/>
        <w:rPr>
          <w:rFonts w:hint="default" w:cs="宋体"/>
          <w:bCs/>
          <w:color w:val="auto"/>
          <w:highlight w:val="none"/>
        </w:rPr>
      </w:pPr>
    </w:p>
    <w:p w14:paraId="591ED095">
      <w:pPr>
        <w:pStyle w:val="12"/>
        <w:kinsoku w:val="0"/>
        <w:overflowPunct w:val="0"/>
        <w:spacing w:line="360" w:lineRule="auto"/>
        <w:ind w:left="4053" w:firstLine="1705" w:firstLineChars="812"/>
        <w:rPr>
          <w:rFonts w:hint="default" w:cs="宋体"/>
          <w:bCs/>
          <w:color w:val="auto"/>
          <w:highlight w:val="none"/>
        </w:rPr>
      </w:pPr>
      <w:r>
        <w:rPr>
          <w:rFonts w:cs="宋体"/>
          <w:bCs/>
          <w:color w:val="auto"/>
          <w:highlight w:val="none"/>
        </w:rPr>
        <w:t>比选人：</w:t>
      </w:r>
      <w:r>
        <w:rPr>
          <w:rFonts w:cs="宋体"/>
          <w:bCs/>
          <w:color w:val="auto"/>
          <w:highlight w:val="none"/>
          <w:u w:val="single"/>
        </w:rPr>
        <w:t xml:space="preserve">    （全称）    </w:t>
      </w:r>
      <w:r>
        <w:rPr>
          <w:rFonts w:cs="宋体"/>
          <w:bCs/>
          <w:color w:val="auto"/>
          <w:highlight w:val="none"/>
        </w:rPr>
        <w:t>（盖单位章）</w:t>
      </w:r>
    </w:p>
    <w:p w14:paraId="408DB57B">
      <w:pPr>
        <w:pStyle w:val="12"/>
        <w:kinsoku w:val="0"/>
        <w:overflowPunct w:val="0"/>
        <w:spacing w:before="36" w:line="360" w:lineRule="auto"/>
        <w:ind w:left="784"/>
        <w:jc w:val="right"/>
        <w:rPr>
          <w:rFonts w:hint="default" w:cs="宋体"/>
          <w:bCs/>
          <w:color w:val="auto"/>
          <w:highlight w:val="none"/>
        </w:rPr>
      </w:pPr>
      <w:r>
        <w:rPr>
          <w:rFonts w:cs="宋体"/>
          <w:color w:val="auto"/>
          <w:szCs w:val="22"/>
          <w:highlight w:val="none"/>
          <w:u w:val="single"/>
        </w:rPr>
        <w:t xml:space="preserve">     </w:t>
      </w:r>
      <w:r>
        <w:rPr>
          <w:rFonts w:cs="宋体"/>
          <w:color w:val="auto"/>
          <w:szCs w:val="22"/>
          <w:highlight w:val="none"/>
        </w:rPr>
        <w:t>年</w:t>
      </w:r>
      <w:r>
        <w:rPr>
          <w:rFonts w:cs="宋体"/>
          <w:color w:val="auto"/>
          <w:szCs w:val="22"/>
          <w:highlight w:val="none"/>
          <w:u w:val="single"/>
        </w:rPr>
        <w:t xml:space="preserve">    </w:t>
      </w:r>
      <w:r>
        <w:rPr>
          <w:rFonts w:cs="宋体"/>
          <w:color w:val="auto"/>
          <w:szCs w:val="22"/>
          <w:highlight w:val="none"/>
        </w:rPr>
        <w:t>月</w:t>
      </w:r>
      <w:r>
        <w:rPr>
          <w:rFonts w:cs="宋体"/>
          <w:color w:val="auto"/>
          <w:szCs w:val="22"/>
          <w:highlight w:val="none"/>
          <w:u w:val="single"/>
        </w:rPr>
        <w:t xml:space="preserve">    </w:t>
      </w:r>
      <w:r>
        <w:rPr>
          <w:rFonts w:cs="宋体"/>
          <w:color w:val="auto"/>
          <w:szCs w:val="22"/>
          <w:highlight w:val="none"/>
        </w:rPr>
        <w:t>日</w:t>
      </w:r>
    </w:p>
    <w:p w14:paraId="6E21AB25">
      <w:pPr>
        <w:pStyle w:val="12"/>
        <w:kinsoku w:val="0"/>
        <w:overflowPunct w:val="0"/>
        <w:spacing w:line="360" w:lineRule="auto"/>
        <w:ind w:left="153"/>
        <w:rPr>
          <w:rFonts w:hint="default" w:cs="宋体"/>
          <w:color w:val="auto"/>
          <w:highlight w:val="none"/>
        </w:rPr>
      </w:pPr>
    </w:p>
    <w:p w14:paraId="173E3240">
      <w:pPr>
        <w:pStyle w:val="12"/>
        <w:kinsoku w:val="0"/>
        <w:overflowPunct w:val="0"/>
        <w:spacing w:line="360" w:lineRule="auto"/>
        <w:ind w:left="153"/>
        <w:rPr>
          <w:rFonts w:hint="default" w:cs="宋体"/>
          <w:color w:val="auto"/>
          <w:highlight w:val="none"/>
        </w:rPr>
      </w:pPr>
    </w:p>
    <w:p w14:paraId="4849C248">
      <w:pPr>
        <w:pStyle w:val="12"/>
        <w:kinsoku w:val="0"/>
        <w:overflowPunct w:val="0"/>
        <w:spacing w:before="174" w:line="360" w:lineRule="auto"/>
        <w:ind w:left="153"/>
        <w:rPr>
          <w:rFonts w:hint="default" w:cs="宋体"/>
          <w:b/>
          <w:bCs/>
          <w:color w:val="auto"/>
          <w:szCs w:val="22"/>
          <w:highlight w:val="none"/>
        </w:rPr>
      </w:pPr>
      <w:r>
        <w:rPr>
          <w:rFonts w:cs="宋体"/>
          <w:b/>
          <w:bCs/>
          <w:color w:val="auto"/>
          <w:szCs w:val="22"/>
          <w:highlight w:val="none"/>
        </w:rPr>
        <w:t>注：</w:t>
      </w:r>
    </w:p>
    <w:p w14:paraId="4E68FCF0">
      <w:pPr>
        <w:pStyle w:val="12"/>
        <w:kinsoku w:val="0"/>
        <w:overflowPunct w:val="0"/>
        <w:spacing w:before="174" w:line="360" w:lineRule="auto"/>
        <w:ind w:left="0" w:firstLine="210" w:firstLineChars="100"/>
        <w:rPr>
          <w:rFonts w:hint="default" w:cs="宋体"/>
          <w:color w:val="auto"/>
          <w:szCs w:val="22"/>
          <w:highlight w:val="none"/>
        </w:rPr>
      </w:pPr>
      <w:r>
        <w:rPr>
          <w:rFonts w:cs="宋体"/>
          <w:color w:val="auto"/>
          <w:szCs w:val="22"/>
          <w:highlight w:val="none"/>
        </w:rPr>
        <w:t>1.如果由比选人的法定代表人亲自签署比选文件，则仅需提供本证明（不再提交授权委托书）；</w:t>
      </w:r>
    </w:p>
    <w:p w14:paraId="569C0662">
      <w:pPr>
        <w:pStyle w:val="12"/>
        <w:kinsoku w:val="0"/>
        <w:overflowPunct w:val="0"/>
        <w:spacing w:before="174" w:line="360" w:lineRule="auto"/>
        <w:ind w:left="0" w:firstLine="210" w:firstLineChars="100"/>
        <w:rPr>
          <w:rFonts w:hint="default" w:cs="宋体"/>
          <w:color w:val="auto"/>
          <w:szCs w:val="22"/>
          <w:highlight w:val="none"/>
        </w:rPr>
      </w:pPr>
      <w:r>
        <w:rPr>
          <w:rFonts w:cs="宋体"/>
          <w:color w:val="auto"/>
          <w:szCs w:val="22"/>
          <w:highlight w:val="none"/>
        </w:rPr>
        <w:t>2.本身份证明要求法定代表人的签字必须是亲笔签名，不得使用印章、签名章或其他电子制版签名；</w:t>
      </w:r>
    </w:p>
    <w:p w14:paraId="64FC2785">
      <w:pPr>
        <w:pStyle w:val="12"/>
        <w:kinsoku w:val="0"/>
        <w:overflowPunct w:val="0"/>
        <w:spacing w:before="174" w:line="360" w:lineRule="auto"/>
        <w:ind w:left="0" w:firstLine="210" w:firstLineChars="100"/>
        <w:rPr>
          <w:rFonts w:hint="default" w:cs="宋体"/>
          <w:color w:val="auto"/>
          <w:szCs w:val="22"/>
          <w:highlight w:val="none"/>
        </w:rPr>
      </w:pPr>
      <w:r>
        <w:rPr>
          <w:rFonts w:cs="宋体"/>
          <w:color w:val="auto"/>
          <w:szCs w:val="22"/>
          <w:highlight w:val="none"/>
        </w:rPr>
        <w:t>3.法定代表人身份证明应附法定代表人身份证复印件（黑白或彩色）并加盖比选人单位章，且身份证复印件应清晰有效；</w:t>
      </w:r>
    </w:p>
    <w:p w14:paraId="1E3247A3">
      <w:pPr>
        <w:pStyle w:val="12"/>
        <w:kinsoku w:val="0"/>
        <w:overflowPunct w:val="0"/>
        <w:spacing w:before="174" w:line="360" w:lineRule="auto"/>
        <w:ind w:left="0" w:firstLine="210" w:firstLineChars="100"/>
        <w:rPr>
          <w:rFonts w:hint="default" w:cs="宋体"/>
          <w:color w:val="auto"/>
          <w:szCs w:val="22"/>
          <w:highlight w:val="none"/>
        </w:rPr>
      </w:pPr>
      <w:r>
        <w:rPr>
          <w:rFonts w:cs="宋体"/>
          <w:color w:val="auto"/>
          <w:szCs w:val="22"/>
          <w:highlight w:val="none"/>
        </w:rPr>
        <w:t>4.法定代表人身份证明的时间应与法定代表人签署比选函的时间同日或在其之前。</w:t>
      </w:r>
    </w:p>
    <w:p w14:paraId="0FDA9FC0">
      <w:pPr>
        <w:pStyle w:val="12"/>
        <w:kinsoku w:val="0"/>
        <w:overflowPunct w:val="0"/>
        <w:spacing w:before="0" w:line="360" w:lineRule="auto"/>
        <w:ind w:left="0"/>
        <w:rPr>
          <w:rFonts w:hint="default" w:cs="宋体"/>
          <w:color w:val="auto"/>
          <w:sz w:val="20"/>
          <w:highlight w:val="none"/>
        </w:rPr>
      </w:pPr>
    </w:p>
    <w:p w14:paraId="089FA57A">
      <w:pPr>
        <w:pStyle w:val="12"/>
        <w:kinsoku w:val="0"/>
        <w:overflowPunct w:val="0"/>
        <w:spacing w:before="5" w:line="360" w:lineRule="auto"/>
        <w:ind w:left="0"/>
        <w:rPr>
          <w:rFonts w:hint="default" w:cs="宋体"/>
          <w:color w:val="auto"/>
          <w:sz w:val="15"/>
          <w:highlight w:val="none"/>
        </w:rPr>
      </w:pPr>
    </w:p>
    <w:p w14:paraId="36C827B8">
      <w:pPr>
        <w:pStyle w:val="12"/>
        <w:kinsoku w:val="0"/>
        <w:overflowPunct w:val="0"/>
        <w:spacing w:before="0" w:line="360" w:lineRule="auto"/>
        <w:ind w:left="0" w:right="47"/>
        <w:jc w:val="center"/>
        <w:rPr>
          <w:rFonts w:hint="default" w:cs="宋体"/>
          <w:color w:val="auto"/>
          <w:highlight w:val="none"/>
        </w:rPr>
      </w:pPr>
      <w:r>
        <w:rPr>
          <w:rFonts w:cs="宋体"/>
          <w:color w:val="auto"/>
          <w:highlight w:val="none"/>
        </w:rPr>
        <w:t xml:space="preserve"> </w:t>
      </w:r>
    </w:p>
    <w:p w14:paraId="25EF4311">
      <w:pPr>
        <w:pStyle w:val="12"/>
        <w:kinsoku w:val="0"/>
        <w:overflowPunct w:val="0"/>
        <w:spacing w:before="0" w:line="360" w:lineRule="auto"/>
        <w:ind w:left="0" w:right="47"/>
        <w:jc w:val="center"/>
        <w:rPr>
          <w:rFonts w:hint="default" w:cs="宋体"/>
          <w:color w:val="auto"/>
          <w:highlight w:val="none"/>
        </w:rPr>
        <w:sectPr>
          <w:pgSz w:w="11900" w:h="16840"/>
          <w:pgMar w:top="1440" w:right="1080" w:bottom="1440" w:left="1080" w:header="881" w:footer="912" w:gutter="0"/>
          <w:cols w:space="720" w:num="1"/>
        </w:sectPr>
      </w:pPr>
    </w:p>
    <w:p w14:paraId="662C0A98">
      <w:pPr>
        <w:pStyle w:val="3"/>
        <w:spacing w:line="400" w:lineRule="exact"/>
        <w:jc w:val="center"/>
        <w:rPr>
          <w:rFonts w:hint="default" w:ascii="Times New Roman" w:hAnsi="Times New Roman" w:eastAsia="方正小标宋_GBK"/>
          <w:b w:val="0"/>
          <w:color w:val="auto"/>
          <w:highlight w:val="none"/>
        </w:rPr>
      </w:pPr>
      <w:bookmarkStart w:id="41" w:name="_Toc27319"/>
    </w:p>
    <w:p w14:paraId="1495993C">
      <w:pPr>
        <w:pStyle w:val="3"/>
        <w:spacing w:line="360" w:lineRule="auto"/>
        <w:ind w:left="0"/>
        <w:jc w:val="center"/>
        <w:rPr>
          <w:rFonts w:hint="default" w:cs="宋体"/>
          <w:color w:val="auto"/>
          <w:sz w:val="32"/>
          <w:szCs w:val="32"/>
          <w:highlight w:val="none"/>
        </w:rPr>
      </w:pPr>
      <w:r>
        <w:rPr>
          <w:rFonts w:cs="宋体"/>
          <w:color w:val="auto"/>
          <w:sz w:val="32"/>
          <w:szCs w:val="32"/>
          <w:highlight w:val="none"/>
        </w:rPr>
        <w:t>三、资格审查资料</w:t>
      </w:r>
    </w:p>
    <w:p w14:paraId="3D7C98E4">
      <w:pPr>
        <w:widowControl/>
        <w:snapToGrid w:val="0"/>
        <w:spacing w:line="219" w:lineRule="auto"/>
        <w:jc w:val="center"/>
        <w:textAlignment w:val="baseline"/>
        <w:rPr>
          <w:rFonts w:ascii="宋体" w:hAnsi="宋体" w:cs="宋体"/>
          <w:color w:val="auto"/>
          <w:spacing w:val="-1"/>
          <w:sz w:val="28"/>
          <w:szCs w:val="28"/>
          <w:highlight w:val="none"/>
        </w:rPr>
      </w:pPr>
    </w:p>
    <w:p w14:paraId="0BD1DAB1">
      <w:pPr>
        <w:widowControl/>
        <w:snapToGrid w:val="0"/>
        <w:spacing w:line="219" w:lineRule="auto"/>
        <w:jc w:val="center"/>
        <w:textAlignment w:val="baseline"/>
        <w:rPr>
          <w:rFonts w:ascii="宋体" w:hAnsi="宋体" w:cs="宋体"/>
          <w:color w:val="auto"/>
          <w:sz w:val="28"/>
          <w:szCs w:val="28"/>
          <w:highlight w:val="none"/>
        </w:rPr>
      </w:pPr>
      <w:r>
        <w:rPr>
          <w:rFonts w:ascii="宋体" w:hAnsi="宋体" w:cs="宋体"/>
          <w:color w:val="auto"/>
          <w:spacing w:val="-1"/>
          <w:sz w:val="28"/>
          <w:szCs w:val="28"/>
          <w:highlight w:val="none"/>
        </w:rPr>
        <w:t>（一）</w:t>
      </w:r>
      <w:r>
        <w:rPr>
          <w:rFonts w:hint="eastAsia" w:ascii="宋体" w:hAnsi="宋体" w:cs="宋体"/>
          <w:color w:val="auto"/>
          <w:spacing w:val="-1"/>
          <w:sz w:val="28"/>
          <w:szCs w:val="28"/>
          <w:highlight w:val="none"/>
        </w:rPr>
        <w:t>比选人</w:t>
      </w:r>
      <w:r>
        <w:rPr>
          <w:rFonts w:ascii="宋体" w:hAnsi="宋体" w:cs="宋体"/>
          <w:color w:val="auto"/>
          <w:spacing w:val="-1"/>
          <w:sz w:val="28"/>
          <w:szCs w:val="28"/>
          <w:highlight w:val="none"/>
        </w:rPr>
        <w:t>基本情况表</w:t>
      </w:r>
    </w:p>
    <w:p w14:paraId="274A4444">
      <w:pPr>
        <w:spacing w:line="169" w:lineRule="exact"/>
        <w:rPr>
          <w:color w:val="auto"/>
          <w:highlight w:val="none"/>
        </w:rPr>
      </w:pPr>
    </w:p>
    <w:tbl>
      <w:tblPr>
        <w:tblStyle w:val="37"/>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91"/>
        <w:gridCol w:w="1017"/>
        <w:gridCol w:w="1133"/>
        <w:gridCol w:w="1151"/>
        <w:gridCol w:w="1176"/>
        <w:gridCol w:w="1331"/>
        <w:gridCol w:w="1903"/>
      </w:tblGrid>
      <w:tr w14:paraId="5F465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7186D191">
            <w:pPr>
              <w:widowControl/>
              <w:snapToGrid w:val="0"/>
              <w:spacing w:line="360" w:lineRule="exact"/>
              <w:jc w:val="center"/>
              <w:textAlignment w:val="baseline"/>
              <w:rPr>
                <w:rFonts w:ascii="宋体" w:hAnsi="宋体" w:cs="宋体"/>
                <w:color w:val="auto"/>
                <w:sz w:val="20"/>
                <w:highlight w:val="none"/>
              </w:rPr>
            </w:pPr>
            <w:r>
              <w:rPr>
                <w:rFonts w:hint="eastAsia" w:ascii="宋体" w:hAnsi="宋体" w:cs="宋体"/>
                <w:color w:val="auto"/>
                <w:sz w:val="20"/>
                <w:highlight w:val="none"/>
              </w:rPr>
              <w:t>比选人名称</w:t>
            </w:r>
          </w:p>
        </w:tc>
        <w:tc>
          <w:tcPr>
            <w:tcW w:w="3973" w:type="pct"/>
            <w:gridSpan w:val="6"/>
            <w:tcMar>
              <w:top w:w="108" w:type="dxa"/>
              <w:left w:w="108" w:type="dxa"/>
              <w:bottom w:w="108" w:type="dxa"/>
              <w:right w:w="108" w:type="dxa"/>
            </w:tcMar>
            <w:vAlign w:val="center"/>
          </w:tcPr>
          <w:p w14:paraId="10AF5177">
            <w:pPr>
              <w:widowControl/>
              <w:snapToGrid w:val="0"/>
              <w:spacing w:line="360" w:lineRule="exact"/>
              <w:jc w:val="center"/>
              <w:textAlignment w:val="baseline"/>
              <w:rPr>
                <w:rFonts w:ascii="宋体" w:hAnsi="宋体" w:cs="宋体"/>
                <w:color w:val="auto"/>
                <w:sz w:val="20"/>
                <w:highlight w:val="none"/>
              </w:rPr>
            </w:pPr>
          </w:p>
        </w:tc>
      </w:tr>
      <w:tr w14:paraId="2253A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29C9DEB7">
            <w:pPr>
              <w:widowControl/>
              <w:snapToGrid w:val="0"/>
              <w:spacing w:line="360" w:lineRule="exact"/>
              <w:jc w:val="center"/>
              <w:textAlignment w:val="baseline"/>
              <w:rPr>
                <w:rFonts w:ascii="宋体" w:hAnsi="宋体" w:cs="宋体"/>
                <w:color w:val="auto"/>
                <w:sz w:val="20"/>
                <w:highlight w:val="none"/>
              </w:rPr>
            </w:pPr>
            <w:r>
              <w:rPr>
                <w:rFonts w:hint="eastAsia" w:ascii="宋体" w:hAnsi="宋体" w:cs="宋体"/>
                <w:color w:val="auto"/>
                <w:sz w:val="20"/>
                <w:highlight w:val="none"/>
              </w:rPr>
              <w:t>注册地址</w:t>
            </w:r>
          </w:p>
        </w:tc>
        <w:tc>
          <w:tcPr>
            <w:tcW w:w="1701" w:type="pct"/>
            <w:gridSpan w:val="3"/>
            <w:tcMar>
              <w:top w:w="108" w:type="dxa"/>
              <w:left w:w="108" w:type="dxa"/>
              <w:bottom w:w="108" w:type="dxa"/>
              <w:right w:w="108" w:type="dxa"/>
            </w:tcMar>
            <w:vAlign w:val="center"/>
          </w:tcPr>
          <w:p w14:paraId="3A0C09C7">
            <w:pPr>
              <w:widowControl/>
              <w:snapToGrid w:val="0"/>
              <w:spacing w:line="360" w:lineRule="exact"/>
              <w:jc w:val="center"/>
              <w:textAlignment w:val="baseline"/>
              <w:rPr>
                <w:rFonts w:ascii="宋体" w:hAnsi="宋体" w:cs="宋体"/>
                <w:color w:val="auto"/>
                <w:sz w:val="20"/>
                <w:highlight w:val="none"/>
              </w:rPr>
            </w:pPr>
          </w:p>
        </w:tc>
        <w:tc>
          <w:tcPr>
            <w:tcW w:w="606" w:type="pct"/>
            <w:tcMar>
              <w:top w:w="108" w:type="dxa"/>
              <w:left w:w="108" w:type="dxa"/>
              <w:bottom w:w="108" w:type="dxa"/>
              <w:right w:w="108" w:type="dxa"/>
            </w:tcMar>
            <w:vAlign w:val="center"/>
          </w:tcPr>
          <w:p w14:paraId="60CB61AA">
            <w:pPr>
              <w:widowControl/>
              <w:snapToGrid w:val="0"/>
              <w:spacing w:line="360" w:lineRule="exact"/>
              <w:jc w:val="center"/>
              <w:textAlignment w:val="baseline"/>
              <w:rPr>
                <w:rFonts w:ascii="宋体" w:hAnsi="宋体" w:cs="宋体"/>
                <w:color w:val="auto"/>
                <w:sz w:val="20"/>
                <w:highlight w:val="none"/>
              </w:rPr>
            </w:pPr>
            <w:r>
              <w:rPr>
                <w:rFonts w:hint="eastAsia" w:ascii="宋体" w:hAnsi="宋体" w:cs="宋体"/>
                <w:color w:val="auto"/>
                <w:sz w:val="20"/>
                <w:highlight w:val="none"/>
              </w:rPr>
              <w:t>邮政编码</w:t>
            </w:r>
          </w:p>
        </w:tc>
        <w:tc>
          <w:tcPr>
            <w:tcW w:w="1666" w:type="pct"/>
            <w:gridSpan w:val="2"/>
            <w:tcMar>
              <w:top w:w="108" w:type="dxa"/>
              <w:left w:w="108" w:type="dxa"/>
              <w:bottom w:w="108" w:type="dxa"/>
              <w:right w:w="108" w:type="dxa"/>
            </w:tcMar>
            <w:vAlign w:val="center"/>
          </w:tcPr>
          <w:p w14:paraId="6596D5EE">
            <w:pPr>
              <w:widowControl/>
              <w:snapToGrid w:val="0"/>
              <w:spacing w:line="360" w:lineRule="exact"/>
              <w:jc w:val="center"/>
              <w:textAlignment w:val="baseline"/>
              <w:rPr>
                <w:rFonts w:ascii="宋体" w:hAnsi="宋体" w:cs="宋体"/>
                <w:color w:val="auto"/>
                <w:sz w:val="20"/>
                <w:highlight w:val="none"/>
              </w:rPr>
            </w:pPr>
          </w:p>
        </w:tc>
      </w:tr>
      <w:tr w14:paraId="18C06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vMerge w:val="restart"/>
            <w:tcBorders>
              <w:bottom w:val="nil"/>
            </w:tcBorders>
            <w:tcMar>
              <w:top w:w="108" w:type="dxa"/>
              <w:left w:w="108" w:type="dxa"/>
              <w:bottom w:w="108" w:type="dxa"/>
              <w:right w:w="108" w:type="dxa"/>
            </w:tcMar>
            <w:vAlign w:val="center"/>
          </w:tcPr>
          <w:p w14:paraId="3804F8F5">
            <w:pPr>
              <w:widowControl/>
              <w:snapToGrid w:val="0"/>
              <w:spacing w:line="360" w:lineRule="exact"/>
              <w:jc w:val="center"/>
              <w:textAlignment w:val="baseline"/>
              <w:rPr>
                <w:rFonts w:ascii="宋体" w:hAnsi="宋体" w:cs="宋体"/>
                <w:color w:val="auto"/>
                <w:sz w:val="20"/>
                <w:highlight w:val="none"/>
              </w:rPr>
            </w:pPr>
          </w:p>
          <w:p w14:paraId="3FFFFF20">
            <w:pPr>
              <w:widowControl/>
              <w:snapToGrid w:val="0"/>
              <w:spacing w:line="360" w:lineRule="exact"/>
              <w:jc w:val="center"/>
              <w:textAlignment w:val="baseline"/>
              <w:rPr>
                <w:rFonts w:ascii="宋体" w:hAnsi="宋体" w:cs="宋体"/>
                <w:color w:val="auto"/>
                <w:sz w:val="20"/>
                <w:highlight w:val="none"/>
              </w:rPr>
            </w:pPr>
            <w:r>
              <w:rPr>
                <w:rFonts w:hint="eastAsia" w:ascii="宋体" w:hAnsi="宋体" w:cs="宋体"/>
                <w:color w:val="auto"/>
                <w:sz w:val="20"/>
                <w:highlight w:val="none"/>
              </w:rPr>
              <w:t>联系方式</w:t>
            </w:r>
          </w:p>
        </w:tc>
        <w:tc>
          <w:tcPr>
            <w:tcW w:w="524" w:type="pct"/>
            <w:tcMar>
              <w:top w:w="108" w:type="dxa"/>
              <w:left w:w="108" w:type="dxa"/>
              <w:bottom w:w="108" w:type="dxa"/>
              <w:right w:w="108" w:type="dxa"/>
            </w:tcMar>
            <w:vAlign w:val="center"/>
          </w:tcPr>
          <w:p w14:paraId="52D4B99A">
            <w:pPr>
              <w:widowControl/>
              <w:snapToGrid w:val="0"/>
              <w:spacing w:line="360" w:lineRule="exact"/>
              <w:jc w:val="center"/>
              <w:textAlignment w:val="baseline"/>
              <w:rPr>
                <w:rFonts w:ascii="宋体" w:hAnsi="宋体" w:cs="宋体"/>
                <w:color w:val="auto"/>
                <w:sz w:val="20"/>
                <w:highlight w:val="none"/>
              </w:rPr>
            </w:pPr>
            <w:r>
              <w:rPr>
                <w:rFonts w:hint="eastAsia" w:ascii="宋体" w:hAnsi="宋体" w:cs="宋体"/>
                <w:color w:val="auto"/>
                <w:sz w:val="20"/>
                <w:highlight w:val="none"/>
              </w:rPr>
              <w:t>联系人</w:t>
            </w:r>
          </w:p>
        </w:tc>
        <w:tc>
          <w:tcPr>
            <w:tcW w:w="1177" w:type="pct"/>
            <w:gridSpan w:val="2"/>
            <w:tcMar>
              <w:top w:w="108" w:type="dxa"/>
              <w:left w:w="108" w:type="dxa"/>
              <w:bottom w:w="108" w:type="dxa"/>
              <w:right w:w="108" w:type="dxa"/>
            </w:tcMar>
            <w:vAlign w:val="center"/>
          </w:tcPr>
          <w:p w14:paraId="3F74B41F">
            <w:pPr>
              <w:widowControl/>
              <w:snapToGrid w:val="0"/>
              <w:spacing w:line="360" w:lineRule="exact"/>
              <w:jc w:val="center"/>
              <w:textAlignment w:val="baseline"/>
              <w:rPr>
                <w:rFonts w:ascii="宋体" w:hAnsi="宋体" w:cs="宋体"/>
                <w:color w:val="auto"/>
                <w:sz w:val="20"/>
                <w:highlight w:val="none"/>
              </w:rPr>
            </w:pPr>
          </w:p>
        </w:tc>
        <w:tc>
          <w:tcPr>
            <w:tcW w:w="606" w:type="pct"/>
            <w:tcMar>
              <w:top w:w="108" w:type="dxa"/>
              <w:left w:w="108" w:type="dxa"/>
              <w:bottom w:w="108" w:type="dxa"/>
              <w:right w:w="108" w:type="dxa"/>
            </w:tcMar>
            <w:vAlign w:val="center"/>
          </w:tcPr>
          <w:p w14:paraId="1162737E">
            <w:pPr>
              <w:widowControl/>
              <w:snapToGrid w:val="0"/>
              <w:spacing w:line="360" w:lineRule="exact"/>
              <w:jc w:val="center"/>
              <w:textAlignment w:val="baseline"/>
              <w:rPr>
                <w:rFonts w:ascii="宋体" w:hAnsi="宋体" w:cs="宋体"/>
                <w:color w:val="auto"/>
                <w:sz w:val="20"/>
                <w:highlight w:val="none"/>
              </w:rPr>
            </w:pPr>
            <w:r>
              <w:rPr>
                <w:rFonts w:hint="eastAsia" w:ascii="宋体" w:hAnsi="宋体" w:cs="宋体"/>
                <w:color w:val="auto"/>
                <w:sz w:val="20"/>
                <w:highlight w:val="none"/>
              </w:rPr>
              <w:t>电话</w:t>
            </w:r>
          </w:p>
        </w:tc>
        <w:tc>
          <w:tcPr>
            <w:tcW w:w="1666" w:type="pct"/>
            <w:gridSpan w:val="2"/>
            <w:tcMar>
              <w:top w:w="108" w:type="dxa"/>
              <w:left w:w="108" w:type="dxa"/>
              <w:bottom w:w="108" w:type="dxa"/>
              <w:right w:w="108" w:type="dxa"/>
            </w:tcMar>
            <w:vAlign w:val="center"/>
          </w:tcPr>
          <w:p w14:paraId="681AA08C">
            <w:pPr>
              <w:widowControl/>
              <w:snapToGrid w:val="0"/>
              <w:spacing w:line="360" w:lineRule="exact"/>
              <w:jc w:val="center"/>
              <w:textAlignment w:val="baseline"/>
              <w:rPr>
                <w:rFonts w:ascii="宋体" w:hAnsi="宋体" w:cs="宋体"/>
                <w:color w:val="auto"/>
                <w:sz w:val="20"/>
                <w:highlight w:val="none"/>
              </w:rPr>
            </w:pPr>
          </w:p>
        </w:tc>
      </w:tr>
      <w:tr w14:paraId="03372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vMerge w:val="continue"/>
            <w:tcBorders>
              <w:top w:val="nil"/>
            </w:tcBorders>
            <w:tcMar>
              <w:top w:w="108" w:type="dxa"/>
              <w:left w:w="108" w:type="dxa"/>
              <w:bottom w:w="108" w:type="dxa"/>
              <w:right w:w="108" w:type="dxa"/>
            </w:tcMar>
            <w:vAlign w:val="center"/>
          </w:tcPr>
          <w:p w14:paraId="55D9906C">
            <w:pPr>
              <w:widowControl/>
              <w:snapToGrid w:val="0"/>
              <w:spacing w:line="360" w:lineRule="exact"/>
              <w:jc w:val="center"/>
              <w:textAlignment w:val="baseline"/>
              <w:rPr>
                <w:rFonts w:ascii="宋体" w:hAnsi="宋体" w:cs="宋体"/>
                <w:color w:val="auto"/>
                <w:sz w:val="20"/>
                <w:highlight w:val="none"/>
              </w:rPr>
            </w:pPr>
          </w:p>
        </w:tc>
        <w:tc>
          <w:tcPr>
            <w:tcW w:w="524" w:type="pct"/>
            <w:tcMar>
              <w:top w:w="108" w:type="dxa"/>
              <w:left w:w="108" w:type="dxa"/>
              <w:bottom w:w="108" w:type="dxa"/>
              <w:right w:w="108" w:type="dxa"/>
            </w:tcMar>
            <w:vAlign w:val="center"/>
          </w:tcPr>
          <w:p w14:paraId="24EC1EEA">
            <w:pPr>
              <w:widowControl/>
              <w:snapToGrid w:val="0"/>
              <w:spacing w:line="360" w:lineRule="exact"/>
              <w:jc w:val="center"/>
              <w:textAlignment w:val="baseline"/>
              <w:rPr>
                <w:rFonts w:ascii="宋体" w:hAnsi="宋体" w:cs="宋体"/>
                <w:color w:val="auto"/>
                <w:sz w:val="20"/>
                <w:highlight w:val="none"/>
              </w:rPr>
            </w:pPr>
            <w:r>
              <w:rPr>
                <w:rFonts w:hint="eastAsia" w:ascii="宋体" w:hAnsi="宋体" w:cs="宋体"/>
                <w:color w:val="auto"/>
                <w:sz w:val="20"/>
                <w:highlight w:val="none"/>
              </w:rPr>
              <w:t>传真</w:t>
            </w:r>
          </w:p>
        </w:tc>
        <w:tc>
          <w:tcPr>
            <w:tcW w:w="1177" w:type="pct"/>
            <w:gridSpan w:val="2"/>
            <w:tcMar>
              <w:top w:w="108" w:type="dxa"/>
              <w:left w:w="108" w:type="dxa"/>
              <w:bottom w:w="108" w:type="dxa"/>
              <w:right w:w="108" w:type="dxa"/>
            </w:tcMar>
            <w:vAlign w:val="center"/>
          </w:tcPr>
          <w:p w14:paraId="7D650D4B">
            <w:pPr>
              <w:widowControl/>
              <w:snapToGrid w:val="0"/>
              <w:spacing w:line="360" w:lineRule="exact"/>
              <w:jc w:val="center"/>
              <w:textAlignment w:val="baseline"/>
              <w:rPr>
                <w:rFonts w:ascii="宋体" w:hAnsi="宋体" w:cs="宋体"/>
                <w:color w:val="auto"/>
                <w:sz w:val="20"/>
                <w:highlight w:val="none"/>
              </w:rPr>
            </w:pPr>
          </w:p>
        </w:tc>
        <w:tc>
          <w:tcPr>
            <w:tcW w:w="606" w:type="pct"/>
            <w:tcMar>
              <w:top w:w="108" w:type="dxa"/>
              <w:left w:w="108" w:type="dxa"/>
              <w:bottom w:w="108" w:type="dxa"/>
              <w:right w:w="108" w:type="dxa"/>
            </w:tcMar>
            <w:vAlign w:val="center"/>
          </w:tcPr>
          <w:p w14:paraId="29CD9996">
            <w:pPr>
              <w:widowControl/>
              <w:snapToGrid w:val="0"/>
              <w:spacing w:line="360" w:lineRule="exact"/>
              <w:jc w:val="center"/>
              <w:textAlignment w:val="baseline"/>
              <w:rPr>
                <w:rFonts w:ascii="宋体" w:hAnsi="宋体" w:cs="宋体"/>
                <w:color w:val="auto"/>
                <w:sz w:val="20"/>
                <w:highlight w:val="none"/>
              </w:rPr>
            </w:pPr>
            <w:r>
              <w:rPr>
                <w:rFonts w:hint="eastAsia" w:ascii="宋体" w:hAnsi="宋体" w:cs="宋体"/>
                <w:color w:val="auto"/>
                <w:sz w:val="20"/>
                <w:highlight w:val="none"/>
              </w:rPr>
              <w:t>电子邮件</w:t>
            </w:r>
          </w:p>
        </w:tc>
        <w:tc>
          <w:tcPr>
            <w:tcW w:w="1666" w:type="pct"/>
            <w:gridSpan w:val="2"/>
            <w:tcMar>
              <w:top w:w="108" w:type="dxa"/>
              <w:left w:w="108" w:type="dxa"/>
              <w:bottom w:w="108" w:type="dxa"/>
              <w:right w:w="108" w:type="dxa"/>
            </w:tcMar>
            <w:vAlign w:val="center"/>
          </w:tcPr>
          <w:p w14:paraId="291599FC">
            <w:pPr>
              <w:widowControl/>
              <w:snapToGrid w:val="0"/>
              <w:spacing w:line="360" w:lineRule="exact"/>
              <w:jc w:val="center"/>
              <w:textAlignment w:val="baseline"/>
              <w:rPr>
                <w:rFonts w:ascii="宋体" w:hAnsi="宋体" w:cs="宋体"/>
                <w:color w:val="auto"/>
                <w:sz w:val="20"/>
                <w:highlight w:val="none"/>
              </w:rPr>
            </w:pPr>
          </w:p>
        </w:tc>
      </w:tr>
      <w:tr w14:paraId="7F1F0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26FF9B11">
            <w:pPr>
              <w:widowControl/>
              <w:snapToGrid w:val="0"/>
              <w:spacing w:line="360" w:lineRule="exact"/>
              <w:jc w:val="center"/>
              <w:textAlignment w:val="baseline"/>
              <w:rPr>
                <w:rFonts w:ascii="宋体" w:hAnsi="宋体" w:cs="宋体"/>
                <w:color w:val="auto"/>
                <w:sz w:val="20"/>
                <w:highlight w:val="none"/>
              </w:rPr>
            </w:pPr>
            <w:r>
              <w:rPr>
                <w:rFonts w:hint="eastAsia" w:ascii="宋体" w:hAnsi="宋体" w:cs="宋体"/>
                <w:color w:val="auto"/>
                <w:sz w:val="20"/>
                <w:highlight w:val="none"/>
              </w:rPr>
              <w:t>法定代表人</w:t>
            </w:r>
          </w:p>
        </w:tc>
        <w:tc>
          <w:tcPr>
            <w:tcW w:w="524" w:type="pct"/>
            <w:tcMar>
              <w:top w:w="108" w:type="dxa"/>
              <w:left w:w="108" w:type="dxa"/>
              <w:bottom w:w="108" w:type="dxa"/>
              <w:right w:w="108" w:type="dxa"/>
            </w:tcMar>
            <w:vAlign w:val="center"/>
          </w:tcPr>
          <w:p w14:paraId="3EDCB969">
            <w:pPr>
              <w:widowControl/>
              <w:snapToGrid w:val="0"/>
              <w:spacing w:line="360" w:lineRule="exact"/>
              <w:jc w:val="center"/>
              <w:textAlignment w:val="baseline"/>
              <w:rPr>
                <w:rFonts w:ascii="宋体" w:hAnsi="宋体" w:cs="宋体"/>
                <w:color w:val="auto"/>
                <w:sz w:val="20"/>
                <w:highlight w:val="none"/>
              </w:rPr>
            </w:pPr>
            <w:r>
              <w:rPr>
                <w:rFonts w:hint="eastAsia" w:ascii="宋体" w:hAnsi="宋体" w:cs="宋体"/>
                <w:color w:val="auto"/>
                <w:sz w:val="20"/>
                <w:highlight w:val="none"/>
              </w:rPr>
              <w:t>姓名</w:t>
            </w:r>
          </w:p>
        </w:tc>
        <w:tc>
          <w:tcPr>
            <w:tcW w:w="584" w:type="pct"/>
            <w:tcMar>
              <w:top w:w="108" w:type="dxa"/>
              <w:left w:w="108" w:type="dxa"/>
              <w:bottom w:w="108" w:type="dxa"/>
              <w:right w:w="108" w:type="dxa"/>
            </w:tcMar>
            <w:vAlign w:val="center"/>
          </w:tcPr>
          <w:p w14:paraId="77B96145">
            <w:pPr>
              <w:widowControl/>
              <w:snapToGrid w:val="0"/>
              <w:spacing w:line="360" w:lineRule="exact"/>
              <w:jc w:val="center"/>
              <w:textAlignment w:val="baseline"/>
              <w:rPr>
                <w:rFonts w:ascii="宋体" w:hAnsi="宋体" w:cs="宋体"/>
                <w:color w:val="auto"/>
                <w:sz w:val="20"/>
                <w:highlight w:val="none"/>
              </w:rPr>
            </w:pPr>
          </w:p>
        </w:tc>
        <w:tc>
          <w:tcPr>
            <w:tcW w:w="592" w:type="pct"/>
            <w:tcMar>
              <w:top w:w="108" w:type="dxa"/>
              <w:left w:w="108" w:type="dxa"/>
              <w:bottom w:w="108" w:type="dxa"/>
              <w:right w:w="108" w:type="dxa"/>
            </w:tcMar>
            <w:vAlign w:val="center"/>
          </w:tcPr>
          <w:p w14:paraId="19D44E4F">
            <w:pPr>
              <w:widowControl/>
              <w:snapToGrid w:val="0"/>
              <w:spacing w:line="360" w:lineRule="exact"/>
              <w:jc w:val="center"/>
              <w:textAlignment w:val="baseline"/>
              <w:rPr>
                <w:rFonts w:ascii="宋体" w:hAnsi="宋体" w:cs="宋体"/>
                <w:color w:val="auto"/>
                <w:sz w:val="20"/>
                <w:highlight w:val="none"/>
              </w:rPr>
            </w:pPr>
            <w:r>
              <w:rPr>
                <w:rFonts w:hint="eastAsia" w:ascii="宋体" w:hAnsi="宋体" w:cs="宋体"/>
                <w:color w:val="auto"/>
                <w:sz w:val="20"/>
                <w:highlight w:val="none"/>
              </w:rPr>
              <w:t>技术职称</w:t>
            </w:r>
          </w:p>
        </w:tc>
        <w:tc>
          <w:tcPr>
            <w:tcW w:w="606" w:type="pct"/>
            <w:tcMar>
              <w:top w:w="108" w:type="dxa"/>
              <w:left w:w="108" w:type="dxa"/>
              <w:bottom w:w="108" w:type="dxa"/>
              <w:right w:w="108" w:type="dxa"/>
            </w:tcMar>
            <w:vAlign w:val="center"/>
          </w:tcPr>
          <w:p w14:paraId="2397CC15">
            <w:pPr>
              <w:widowControl/>
              <w:snapToGrid w:val="0"/>
              <w:spacing w:line="360" w:lineRule="exact"/>
              <w:jc w:val="center"/>
              <w:textAlignment w:val="baseline"/>
              <w:rPr>
                <w:rFonts w:ascii="宋体" w:hAnsi="宋体" w:cs="宋体"/>
                <w:color w:val="auto"/>
                <w:sz w:val="20"/>
                <w:highlight w:val="none"/>
              </w:rPr>
            </w:pPr>
          </w:p>
        </w:tc>
        <w:tc>
          <w:tcPr>
            <w:tcW w:w="686" w:type="pct"/>
            <w:tcMar>
              <w:top w:w="108" w:type="dxa"/>
              <w:left w:w="108" w:type="dxa"/>
              <w:bottom w:w="108" w:type="dxa"/>
              <w:right w:w="108" w:type="dxa"/>
            </w:tcMar>
            <w:vAlign w:val="center"/>
          </w:tcPr>
          <w:p w14:paraId="6626FAB5">
            <w:pPr>
              <w:widowControl/>
              <w:snapToGrid w:val="0"/>
              <w:spacing w:line="360" w:lineRule="exact"/>
              <w:jc w:val="center"/>
              <w:textAlignment w:val="baseline"/>
              <w:rPr>
                <w:rFonts w:ascii="宋体" w:hAnsi="宋体" w:cs="宋体"/>
                <w:color w:val="auto"/>
                <w:sz w:val="20"/>
                <w:highlight w:val="none"/>
              </w:rPr>
            </w:pPr>
            <w:r>
              <w:rPr>
                <w:rFonts w:hint="eastAsia" w:ascii="宋体" w:hAnsi="宋体" w:cs="宋体"/>
                <w:color w:val="auto"/>
                <w:sz w:val="20"/>
                <w:highlight w:val="none"/>
              </w:rPr>
              <w:t>电话</w:t>
            </w:r>
          </w:p>
        </w:tc>
        <w:tc>
          <w:tcPr>
            <w:tcW w:w="979" w:type="pct"/>
            <w:tcMar>
              <w:top w:w="108" w:type="dxa"/>
              <w:left w:w="108" w:type="dxa"/>
              <w:bottom w:w="108" w:type="dxa"/>
              <w:right w:w="108" w:type="dxa"/>
            </w:tcMar>
            <w:vAlign w:val="center"/>
          </w:tcPr>
          <w:p w14:paraId="097EACCE">
            <w:pPr>
              <w:widowControl/>
              <w:snapToGrid w:val="0"/>
              <w:spacing w:line="360" w:lineRule="exact"/>
              <w:jc w:val="center"/>
              <w:textAlignment w:val="baseline"/>
              <w:rPr>
                <w:rFonts w:ascii="宋体" w:hAnsi="宋体" w:cs="宋体"/>
                <w:color w:val="auto"/>
                <w:sz w:val="20"/>
                <w:highlight w:val="none"/>
              </w:rPr>
            </w:pPr>
          </w:p>
        </w:tc>
      </w:tr>
      <w:tr w14:paraId="15021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30BF4787">
            <w:pPr>
              <w:widowControl/>
              <w:snapToGrid w:val="0"/>
              <w:spacing w:line="360" w:lineRule="exact"/>
              <w:jc w:val="center"/>
              <w:textAlignment w:val="baseline"/>
              <w:rPr>
                <w:rFonts w:ascii="宋体" w:hAnsi="宋体" w:cs="宋体"/>
                <w:color w:val="auto"/>
                <w:sz w:val="20"/>
                <w:highlight w:val="none"/>
              </w:rPr>
            </w:pPr>
            <w:r>
              <w:rPr>
                <w:rFonts w:hint="eastAsia" w:ascii="宋体" w:hAnsi="宋体" w:cs="宋体"/>
                <w:color w:val="auto"/>
                <w:sz w:val="20"/>
                <w:highlight w:val="none"/>
              </w:rPr>
              <w:t>营业执照号</w:t>
            </w:r>
          </w:p>
        </w:tc>
        <w:tc>
          <w:tcPr>
            <w:tcW w:w="3973" w:type="pct"/>
            <w:gridSpan w:val="6"/>
            <w:tcMar>
              <w:top w:w="108" w:type="dxa"/>
              <w:left w:w="108" w:type="dxa"/>
              <w:bottom w:w="108" w:type="dxa"/>
              <w:right w:w="108" w:type="dxa"/>
            </w:tcMar>
            <w:vAlign w:val="center"/>
          </w:tcPr>
          <w:p w14:paraId="2E39CC38">
            <w:pPr>
              <w:widowControl/>
              <w:snapToGrid w:val="0"/>
              <w:spacing w:line="360" w:lineRule="exact"/>
              <w:jc w:val="center"/>
              <w:textAlignment w:val="baseline"/>
              <w:rPr>
                <w:rFonts w:ascii="宋体" w:hAnsi="宋体" w:cs="宋体"/>
                <w:color w:val="auto"/>
                <w:sz w:val="20"/>
                <w:highlight w:val="none"/>
              </w:rPr>
            </w:pPr>
          </w:p>
        </w:tc>
      </w:tr>
      <w:tr w14:paraId="66AE9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185A3839">
            <w:pPr>
              <w:widowControl/>
              <w:snapToGrid w:val="0"/>
              <w:spacing w:line="360" w:lineRule="exact"/>
              <w:jc w:val="center"/>
              <w:textAlignment w:val="baseline"/>
              <w:rPr>
                <w:rFonts w:ascii="宋体" w:hAnsi="宋体" w:cs="宋体"/>
                <w:color w:val="auto"/>
                <w:sz w:val="20"/>
                <w:highlight w:val="none"/>
              </w:rPr>
            </w:pPr>
            <w:r>
              <w:rPr>
                <w:rFonts w:hint="eastAsia" w:ascii="宋体" w:hAnsi="宋体" w:cs="宋体"/>
                <w:color w:val="auto"/>
                <w:sz w:val="20"/>
                <w:highlight w:val="none"/>
              </w:rPr>
              <w:t>注册资本</w:t>
            </w:r>
          </w:p>
        </w:tc>
        <w:tc>
          <w:tcPr>
            <w:tcW w:w="3973" w:type="pct"/>
            <w:gridSpan w:val="6"/>
            <w:tcMar>
              <w:top w:w="108" w:type="dxa"/>
              <w:left w:w="108" w:type="dxa"/>
              <w:bottom w:w="108" w:type="dxa"/>
              <w:right w:w="108" w:type="dxa"/>
            </w:tcMar>
            <w:vAlign w:val="center"/>
          </w:tcPr>
          <w:p w14:paraId="7B8C4C14">
            <w:pPr>
              <w:widowControl/>
              <w:snapToGrid w:val="0"/>
              <w:spacing w:line="360" w:lineRule="exact"/>
              <w:jc w:val="center"/>
              <w:textAlignment w:val="baseline"/>
              <w:rPr>
                <w:rFonts w:ascii="宋体" w:hAnsi="宋体" w:cs="宋体"/>
                <w:color w:val="auto"/>
                <w:sz w:val="20"/>
                <w:highlight w:val="none"/>
              </w:rPr>
            </w:pPr>
          </w:p>
        </w:tc>
      </w:tr>
      <w:tr w14:paraId="35A89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69D17554">
            <w:pPr>
              <w:widowControl/>
              <w:snapToGrid w:val="0"/>
              <w:spacing w:line="360" w:lineRule="exact"/>
              <w:jc w:val="center"/>
              <w:textAlignment w:val="baseline"/>
              <w:rPr>
                <w:rFonts w:ascii="宋体" w:hAnsi="宋体" w:cs="宋体"/>
                <w:color w:val="auto"/>
                <w:sz w:val="20"/>
                <w:highlight w:val="none"/>
              </w:rPr>
            </w:pPr>
            <w:r>
              <w:rPr>
                <w:rFonts w:hint="eastAsia" w:ascii="宋体" w:hAnsi="宋体" w:cs="宋体"/>
                <w:color w:val="auto"/>
                <w:sz w:val="20"/>
                <w:highlight w:val="none"/>
              </w:rPr>
              <w:t>成立日期</w:t>
            </w:r>
          </w:p>
        </w:tc>
        <w:tc>
          <w:tcPr>
            <w:tcW w:w="3973" w:type="pct"/>
            <w:gridSpan w:val="6"/>
            <w:tcMar>
              <w:top w:w="108" w:type="dxa"/>
              <w:left w:w="108" w:type="dxa"/>
              <w:bottom w:w="108" w:type="dxa"/>
              <w:right w:w="108" w:type="dxa"/>
            </w:tcMar>
            <w:vAlign w:val="center"/>
          </w:tcPr>
          <w:p w14:paraId="5A86366A">
            <w:pPr>
              <w:widowControl/>
              <w:snapToGrid w:val="0"/>
              <w:spacing w:line="360" w:lineRule="exact"/>
              <w:jc w:val="center"/>
              <w:textAlignment w:val="baseline"/>
              <w:rPr>
                <w:rFonts w:ascii="宋体" w:hAnsi="宋体" w:cs="宋体"/>
                <w:color w:val="auto"/>
                <w:sz w:val="20"/>
                <w:highlight w:val="none"/>
              </w:rPr>
            </w:pPr>
          </w:p>
        </w:tc>
      </w:tr>
      <w:tr w14:paraId="78C2F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37424EC2">
            <w:pPr>
              <w:widowControl/>
              <w:snapToGrid w:val="0"/>
              <w:spacing w:line="360" w:lineRule="exact"/>
              <w:jc w:val="center"/>
              <w:textAlignment w:val="baseline"/>
              <w:rPr>
                <w:rFonts w:ascii="宋体" w:hAnsi="宋体" w:cs="宋体"/>
                <w:color w:val="auto"/>
                <w:sz w:val="20"/>
                <w:highlight w:val="none"/>
              </w:rPr>
            </w:pPr>
            <w:r>
              <w:rPr>
                <w:rFonts w:hint="eastAsia" w:ascii="宋体" w:hAnsi="宋体" w:cs="宋体"/>
                <w:color w:val="auto"/>
                <w:sz w:val="20"/>
                <w:highlight w:val="none"/>
              </w:rPr>
              <w:t>企业资质证书</w:t>
            </w:r>
          </w:p>
        </w:tc>
        <w:tc>
          <w:tcPr>
            <w:tcW w:w="3973" w:type="pct"/>
            <w:gridSpan w:val="6"/>
            <w:tcMar>
              <w:top w:w="108" w:type="dxa"/>
              <w:left w:w="108" w:type="dxa"/>
              <w:bottom w:w="108" w:type="dxa"/>
              <w:right w:w="108" w:type="dxa"/>
            </w:tcMar>
            <w:vAlign w:val="center"/>
          </w:tcPr>
          <w:p w14:paraId="04FCE109">
            <w:pPr>
              <w:widowControl/>
              <w:snapToGrid w:val="0"/>
              <w:spacing w:line="360" w:lineRule="exact"/>
              <w:jc w:val="center"/>
              <w:textAlignment w:val="baseline"/>
              <w:rPr>
                <w:rFonts w:ascii="宋体" w:hAnsi="宋体" w:cs="宋体"/>
                <w:color w:val="auto"/>
                <w:sz w:val="20"/>
                <w:highlight w:val="none"/>
              </w:rPr>
            </w:pPr>
            <w:r>
              <w:rPr>
                <w:rFonts w:hint="eastAsia" w:ascii="宋体" w:hAnsi="宋体" w:cs="宋体"/>
                <w:color w:val="auto"/>
                <w:sz w:val="20"/>
                <w:highlight w:val="none"/>
              </w:rPr>
              <w:t>类型：等级：证书号：</w:t>
            </w:r>
          </w:p>
        </w:tc>
      </w:tr>
      <w:tr w14:paraId="67428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15E60450">
            <w:pPr>
              <w:widowControl/>
              <w:snapToGrid w:val="0"/>
              <w:spacing w:line="360" w:lineRule="exact"/>
              <w:jc w:val="center"/>
              <w:textAlignment w:val="baseline"/>
              <w:rPr>
                <w:rFonts w:ascii="宋体" w:hAnsi="宋体" w:cs="宋体"/>
                <w:color w:val="auto"/>
                <w:sz w:val="20"/>
                <w:highlight w:val="none"/>
              </w:rPr>
            </w:pPr>
            <w:r>
              <w:rPr>
                <w:rFonts w:hint="eastAsia" w:ascii="宋体" w:hAnsi="宋体" w:cs="宋体"/>
                <w:color w:val="auto"/>
                <w:sz w:val="20"/>
                <w:highlight w:val="none"/>
              </w:rPr>
              <w:t>基本账户开户银行</w:t>
            </w:r>
          </w:p>
        </w:tc>
        <w:tc>
          <w:tcPr>
            <w:tcW w:w="3973" w:type="pct"/>
            <w:gridSpan w:val="6"/>
            <w:tcMar>
              <w:top w:w="108" w:type="dxa"/>
              <w:left w:w="108" w:type="dxa"/>
              <w:bottom w:w="108" w:type="dxa"/>
              <w:right w:w="108" w:type="dxa"/>
            </w:tcMar>
            <w:vAlign w:val="center"/>
          </w:tcPr>
          <w:p w14:paraId="1765B98F">
            <w:pPr>
              <w:widowControl/>
              <w:snapToGrid w:val="0"/>
              <w:spacing w:line="360" w:lineRule="exact"/>
              <w:jc w:val="center"/>
              <w:textAlignment w:val="baseline"/>
              <w:rPr>
                <w:rFonts w:ascii="宋体" w:hAnsi="宋体" w:cs="宋体"/>
                <w:color w:val="auto"/>
                <w:sz w:val="20"/>
                <w:highlight w:val="none"/>
              </w:rPr>
            </w:pPr>
          </w:p>
        </w:tc>
      </w:tr>
      <w:tr w14:paraId="0E9E5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2B09CFA7">
            <w:pPr>
              <w:widowControl/>
              <w:snapToGrid w:val="0"/>
              <w:spacing w:line="360" w:lineRule="exact"/>
              <w:jc w:val="center"/>
              <w:textAlignment w:val="baseline"/>
              <w:rPr>
                <w:rFonts w:ascii="宋体" w:hAnsi="宋体" w:cs="宋体"/>
                <w:color w:val="auto"/>
                <w:sz w:val="20"/>
                <w:highlight w:val="none"/>
              </w:rPr>
            </w:pPr>
            <w:r>
              <w:rPr>
                <w:rFonts w:hint="eastAsia" w:ascii="宋体" w:hAnsi="宋体" w:cs="宋体"/>
                <w:color w:val="auto"/>
                <w:sz w:val="20"/>
                <w:highlight w:val="none"/>
              </w:rPr>
              <w:t>基本账户银行账号</w:t>
            </w:r>
          </w:p>
        </w:tc>
        <w:tc>
          <w:tcPr>
            <w:tcW w:w="3973" w:type="pct"/>
            <w:gridSpan w:val="6"/>
            <w:tcMar>
              <w:top w:w="108" w:type="dxa"/>
              <w:left w:w="108" w:type="dxa"/>
              <w:bottom w:w="108" w:type="dxa"/>
              <w:right w:w="108" w:type="dxa"/>
            </w:tcMar>
            <w:vAlign w:val="center"/>
          </w:tcPr>
          <w:p w14:paraId="708C0C12">
            <w:pPr>
              <w:widowControl/>
              <w:snapToGrid w:val="0"/>
              <w:spacing w:line="360" w:lineRule="exact"/>
              <w:jc w:val="center"/>
              <w:textAlignment w:val="baseline"/>
              <w:rPr>
                <w:rFonts w:ascii="宋体" w:hAnsi="宋体" w:cs="宋体"/>
                <w:color w:val="auto"/>
                <w:sz w:val="20"/>
                <w:highlight w:val="none"/>
              </w:rPr>
            </w:pPr>
          </w:p>
        </w:tc>
      </w:tr>
      <w:tr w14:paraId="3B959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118846A8">
            <w:pPr>
              <w:widowControl/>
              <w:snapToGrid w:val="0"/>
              <w:spacing w:line="360" w:lineRule="exact"/>
              <w:jc w:val="center"/>
              <w:textAlignment w:val="baseline"/>
              <w:rPr>
                <w:rFonts w:ascii="宋体" w:hAnsi="宋体" w:cs="宋体"/>
                <w:color w:val="auto"/>
                <w:sz w:val="20"/>
                <w:highlight w:val="none"/>
              </w:rPr>
            </w:pPr>
            <w:r>
              <w:rPr>
                <w:rFonts w:hint="eastAsia" w:ascii="宋体" w:hAnsi="宋体" w:cs="宋体"/>
                <w:color w:val="auto"/>
                <w:sz w:val="20"/>
                <w:highlight w:val="none"/>
              </w:rPr>
              <w:t>经营范围</w:t>
            </w:r>
          </w:p>
        </w:tc>
        <w:tc>
          <w:tcPr>
            <w:tcW w:w="3973" w:type="pct"/>
            <w:gridSpan w:val="6"/>
            <w:tcMar>
              <w:top w:w="108" w:type="dxa"/>
              <w:left w:w="108" w:type="dxa"/>
              <w:bottom w:w="108" w:type="dxa"/>
              <w:right w:w="108" w:type="dxa"/>
            </w:tcMar>
            <w:vAlign w:val="center"/>
          </w:tcPr>
          <w:p w14:paraId="6DE41B3C">
            <w:pPr>
              <w:widowControl/>
              <w:snapToGrid w:val="0"/>
              <w:spacing w:line="360" w:lineRule="exact"/>
              <w:jc w:val="center"/>
              <w:textAlignment w:val="baseline"/>
              <w:rPr>
                <w:rFonts w:ascii="宋体" w:hAnsi="宋体" w:cs="宋体"/>
                <w:color w:val="auto"/>
                <w:sz w:val="20"/>
                <w:highlight w:val="none"/>
              </w:rPr>
            </w:pPr>
          </w:p>
        </w:tc>
      </w:tr>
      <w:tr w14:paraId="168DA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5083A844">
            <w:pPr>
              <w:widowControl/>
              <w:snapToGrid w:val="0"/>
              <w:spacing w:line="360" w:lineRule="exact"/>
              <w:jc w:val="center"/>
              <w:textAlignment w:val="baseline"/>
              <w:rPr>
                <w:rFonts w:ascii="宋体" w:hAnsi="宋体" w:cs="宋体"/>
                <w:color w:val="auto"/>
                <w:sz w:val="20"/>
                <w:highlight w:val="none"/>
              </w:rPr>
            </w:pPr>
            <w:r>
              <w:rPr>
                <w:rFonts w:hint="eastAsia" w:ascii="宋体" w:hAnsi="宋体" w:cs="宋体"/>
                <w:color w:val="auto"/>
                <w:sz w:val="20"/>
                <w:highlight w:val="none"/>
              </w:rPr>
              <w:t>比选人关联企业情况（如有）</w:t>
            </w:r>
          </w:p>
        </w:tc>
        <w:tc>
          <w:tcPr>
            <w:tcW w:w="3973" w:type="pct"/>
            <w:gridSpan w:val="6"/>
            <w:tcMar>
              <w:top w:w="108" w:type="dxa"/>
              <w:left w:w="108" w:type="dxa"/>
              <w:bottom w:w="108" w:type="dxa"/>
              <w:right w:w="108" w:type="dxa"/>
            </w:tcMar>
            <w:vAlign w:val="center"/>
          </w:tcPr>
          <w:p w14:paraId="6F29F3EA">
            <w:pPr>
              <w:widowControl/>
              <w:snapToGrid w:val="0"/>
              <w:spacing w:line="360" w:lineRule="exact"/>
              <w:jc w:val="both"/>
              <w:textAlignment w:val="baseline"/>
              <w:rPr>
                <w:rFonts w:ascii="宋体" w:hAnsi="宋体" w:cs="宋体"/>
                <w:color w:val="auto"/>
                <w:sz w:val="20"/>
                <w:highlight w:val="none"/>
              </w:rPr>
            </w:pPr>
            <w:r>
              <w:rPr>
                <w:rFonts w:hint="eastAsia" w:ascii="宋体" w:hAnsi="宋体" w:cs="宋体"/>
                <w:color w:val="auto"/>
                <w:sz w:val="20"/>
                <w:highlight w:val="none"/>
              </w:rPr>
              <w:t>比选人应提供关联企业情况，包括：</w:t>
            </w:r>
          </w:p>
          <w:p w14:paraId="2050B52E">
            <w:pPr>
              <w:widowControl/>
              <w:snapToGrid w:val="0"/>
              <w:spacing w:line="360" w:lineRule="exact"/>
              <w:jc w:val="both"/>
              <w:textAlignment w:val="baseline"/>
              <w:rPr>
                <w:rFonts w:ascii="宋体" w:hAnsi="宋体" w:cs="宋体"/>
                <w:color w:val="auto"/>
                <w:sz w:val="20"/>
                <w:highlight w:val="none"/>
              </w:rPr>
            </w:pPr>
            <w:r>
              <w:rPr>
                <w:rFonts w:hint="eastAsia" w:ascii="宋体" w:hAnsi="宋体" w:cs="宋体"/>
                <w:color w:val="auto"/>
                <w:sz w:val="20"/>
                <w:highlight w:val="none"/>
              </w:rPr>
              <w:t>（1）比选人的所有股东名称及相应股权（出资额）比例：如比选人为上市公司，比选人应提供股权占公司股份总数50%以上的所有股东名称及相应股权比例；</w:t>
            </w:r>
          </w:p>
          <w:p w14:paraId="37DCFE25">
            <w:pPr>
              <w:widowControl/>
              <w:snapToGrid w:val="0"/>
              <w:spacing w:line="360" w:lineRule="exact"/>
              <w:jc w:val="both"/>
              <w:textAlignment w:val="baseline"/>
              <w:rPr>
                <w:rFonts w:ascii="宋体" w:hAnsi="宋体" w:cs="宋体"/>
                <w:color w:val="auto"/>
                <w:sz w:val="20"/>
                <w:highlight w:val="none"/>
              </w:rPr>
            </w:pPr>
            <w:r>
              <w:rPr>
                <w:rFonts w:hint="eastAsia" w:ascii="宋体" w:hAnsi="宋体" w:cs="宋体"/>
                <w:color w:val="auto"/>
                <w:sz w:val="20"/>
                <w:highlight w:val="none"/>
              </w:rPr>
              <w:t>（2）比选人投资（控股）或管理的下属企业名称、持有股权（出资额）比例；</w:t>
            </w:r>
          </w:p>
          <w:p w14:paraId="4584DA20">
            <w:pPr>
              <w:widowControl/>
              <w:snapToGrid w:val="0"/>
              <w:spacing w:line="360" w:lineRule="exact"/>
              <w:jc w:val="both"/>
              <w:textAlignment w:val="baseline"/>
              <w:rPr>
                <w:rFonts w:ascii="宋体" w:hAnsi="宋体" w:cs="宋体"/>
                <w:color w:val="auto"/>
                <w:sz w:val="20"/>
                <w:highlight w:val="none"/>
              </w:rPr>
            </w:pPr>
            <w:r>
              <w:rPr>
                <w:rFonts w:hint="eastAsia" w:ascii="宋体" w:hAnsi="宋体" w:cs="宋体"/>
                <w:color w:val="auto"/>
                <w:sz w:val="20"/>
                <w:highlight w:val="none"/>
              </w:rPr>
              <w:t>（3）与比选人单位负责人（即法定代表人）为同一人的其他单位名称。</w:t>
            </w:r>
          </w:p>
        </w:tc>
      </w:tr>
      <w:tr w14:paraId="3EB08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14:paraId="3D1D32C9">
            <w:pPr>
              <w:widowControl/>
              <w:snapToGrid w:val="0"/>
              <w:spacing w:line="360" w:lineRule="exact"/>
              <w:jc w:val="center"/>
              <w:textAlignment w:val="baseline"/>
              <w:rPr>
                <w:rFonts w:ascii="宋体" w:hAnsi="宋体" w:cs="宋体"/>
                <w:color w:val="auto"/>
                <w:sz w:val="20"/>
                <w:highlight w:val="none"/>
              </w:rPr>
            </w:pPr>
            <w:r>
              <w:rPr>
                <w:rFonts w:hint="eastAsia" w:ascii="宋体" w:hAnsi="宋体" w:cs="宋体"/>
                <w:color w:val="auto"/>
                <w:sz w:val="20"/>
                <w:highlight w:val="none"/>
              </w:rPr>
              <w:t>备注</w:t>
            </w:r>
          </w:p>
        </w:tc>
        <w:tc>
          <w:tcPr>
            <w:tcW w:w="3973" w:type="pct"/>
            <w:gridSpan w:val="6"/>
            <w:tcMar>
              <w:top w:w="108" w:type="dxa"/>
              <w:left w:w="108" w:type="dxa"/>
              <w:bottom w:w="108" w:type="dxa"/>
              <w:right w:w="108" w:type="dxa"/>
            </w:tcMar>
            <w:vAlign w:val="center"/>
          </w:tcPr>
          <w:p w14:paraId="0DA4631F">
            <w:pPr>
              <w:widowControl/>
              <w:snapToGrid w:val="0"/>
              <w:spacing w:line="360" w:lineRule="exact"/>
              <w:jc w:val="center"/>
              <w:textAlignment w:val="baseline"/>
              <w:rPr>
                <w:rFonts w:ascii="宋体" w:hAnsi="宋体" w:cs="宋体"/>
                <w:color w:val="auto"/>
                <w:sz w:val="20"/>
                <w:highlight w:val="none"/>
              </w:rPr>
            </w:pPr>
          </w:p>
        </w:tc>
      </w:tr>
    </w:tbl>
    <w:p w14:paraId="2E8914D2">
      <w:pPr>
        <w:pStyle w:val="12"/>
        <w:spacing w:line="372" w:lineRule="auto"/>
        <w:rPr>
          <w:rFonts w:hint="default"/>
          <w:color w:val="auto"/>
          <w:highlight w:val="none"/>
        </w:rPr>
      </w:pPr>
    </w:p>
    <w:p w14:paraId="21914E7C">
      <w:pPr>
        <w:widowControl/>
        <w:snapToGrid w:val="0"/>
        <w:spacing w:line="560" w:lineRule="exact"/>
        <w:ind w:firstLine="468" w:firstLineChars="200"/>
        <w:textAlignment w:val="baseline"/>
        <w:rPr>
          <w:rFonts w:ascii="宋体" w:hAnsi="宋体" w:cs="宋体"/>
          <w:color w:val="auto"/>
          <w:spacing w:val="17"/>
          <w:position w:val="15"/>
          <w:sz w:val="20"/>
          <w:highlight w:val="none"/>
        </w:rPr>
        <w:sectPr>
          <w:headerReference r:id="rId20" w:type="default"/>
          <w:footerReference r:id="rId21" w:type="default"/>
          <w:pgSz w:w="11906" w:h="16839"/>
          <w:pgMar w:top="814" w:right="947" w:bottom="1236" w:left="1473" w:header="595" w:footer="1071" w:gutter="0"/>
          <w:cols w:space="720" w:num="1"/>
        </w:sectPr>
      </w:pPr>
      <w:r>
        <w:rPr>
          <w:rFonts w:hint="eastAsia" w:ascii="宋体" w:hAnsi="宋体" w:cs="宋体"/>
          <w:color w:val="auto"/>
          <w:spacing w:val="17"/>
          <w:position w:val="15"/>
          <w:sz w:val="20"/>
          <w:highlight w:val="none"/>
        </w:rPr>
        <w:t>注：本表后应附有以下证明材料的影印件（黑白或彩色）：（1）营业执照、（2）资质证书、（3）基本账户开户许可证或基本存款账户信息表</w:t>
      </w:r>
    </w:p>
    <w:p w14:paraId="5876EB93">
      <w:pPr>
        <w:pStyle w:val="12"/>
        <w:spacing w:line="268" w:lineRule="auto"/>
        <w:ind w:left="0"/>
        <w:rPr>
          <w:rFonts w:hint="default"/>
          <w:color w:val="auto"/>
          <w:highlight w:val="none"/>
        </w:rPr>
      </w:pPr>
    </w:p>
    <w:p w14:paraId="62450B26">
      <w:pPr>
        <w:spacing w:before="91" w:line="220" w:lineRule="auto"/>
        <w:ind w:left="2699"/>
        <w:outlineLvl w:val="1"/>
        <w:rPr>
          <w:rFonts w:ascii="宋体" w:hAnsi="宋体" w:cs="宋体"/>
          <w:color w:val="auto"/>
          <w:sz w:val="28"/>
          <w:szCs w:val="28"/>
          <w:highlight w:val="none"/>
        </w:rPr>
      </w:pPr>
      <w:r>
        <w:rPr>
          <w:rFonts w:ascii="宋体" w:hAnsi="宋体" w:cs="宋体"/>
          <w:color w:val="auto"/>
          <w:spacing w:val="-1"/>
          <w:sz w:val="28"/>
          <w:szCs w:val="28"/>
          <w:highlight w:val="none"/>
        </w:rPr>
        <w:t>（</w:t>
      </w:r>
      <w:r>
        <w:rPr>
          <w:rFonts w:hint="eastAsia" w:ascii="宋体" w:hAnsi="宋体" w:cs="宋体"/>
          <w:color w:val="auto"/>
          <w:spacing w:val="-1"/>
          <w:sz w:val="28"/>
          <w:szCs w:val="28"/>
          <w:highlight w:val="none"/>
        </w:rPr>
        <w:t>二</w:t>
      </w:r>
      <w:r>
        <w:rPr>
          <w:rFonts w:ascii="宋体" w:hAnsi="宋体" w:cs="宋体"/>
          <w:color w:val="auto"/>
          <w:spacing w:val="-1"/>
          <w:sz w:val="28"/>
          <w:szCs w:val="28"/>
          <w:highlight w:val="none"/>
        </w:rPr>
        <w:t>）近年承担类似项目情况</w:t>
      </w:r>
    </w:p>
    <w:p w14:paraId="461040B7">
      <w:pPr>
        <w:spacing w:before="7"/>
        <w:rPr>
          <w:color w:val="auto"/>
          <w:highlight w:val="none"/>
        </w:rPr>
      </w:pPr>
    </w:p>
    <w:p w14:paraId="0502DEE3">
      <w:pPr>
        <w:widowControl/>
        <w:snapToGrid w:val="0"/>
        <w:spacing w:line="560" w:lineRule="exact"/>
        <w:textAlignment w:val="baseline"/>
        <w:rPr>
          <w:rFonts w:ascii="宋体" w:hAnsi="宋体" w:cs="宋体"/>
          <w:color w:val="auto"/>
          <w:spacing w:val="17"/>
          <w:position w:val="15"/>
          <w:sz w:val="20"/>
          <w:highlight w:val="none"/>
        </w:rPr>
      </w:pPr>
      <w:r>
        <w:rPr>
          <w:rFonts w:hint="eastAsia" w:ascii="宋体" w:hAnsi="宋体" w:cs="宋体"/>
          <w:color w:val="auto"/>
          <w:spacing w:val="17"/>
          <w:position w:val="15"/>
          <w:sz w:val="20"/>
          <w:highlight w:val="none"/>
        </w:rPr>
        <w:t>注：</w:t>
      </w:r>
    </w:p>
    <w:p w14:paraId="76B0C536">
      <w:pPr>
        <w:widowControl/>
        <w:snapToGrid w:val="0"/>
        <w:spacing w:line="560" w:lineRule="exact"/>
        <w:ind w:firstLine="468" w:firstLineChars="200"/>
        <w:textAlignment w:val="baseline"/>
        <w:rPr>
          <w:rFonts w:ascii="宋体" w:hAnsi="宋体" w:cs="宋体"/>
          <w:color w:val="auto"/>
          <w:spacing w:val="17"/>
          <w:position w:val="15"/>
          <w:sz w:val="20"/>
          <w:highlight w:val="none"/>
        </w:rPr>
      </w:pPr>
      <w:r>
        <w:rPr>
          <w:rFonts w:hint="eastAsia" w:ascii="宋体" w:hAnsi="宋体" w:cs="宋体"/>
          <w:color w:val="auto"/>
          <w:spacing w:val="17"/>
          <w:position w:val="15"/>
          <w:sz w:val="20"/>
          <w:highlight w:val="none"/>
        </w:rPr>
        <w:t>1.业绩要求是自20</w:t>
      </w:r>
      <w:r>
        <w:rPr>
          <w:rFonts w:hint="eastAsia" w:ascii="宋体" w:hAnsi="宋体" w:cs="宋体"/>
          <w:color w:val="auto"/>
          <w:spacing w:val="17"/>
          <w:position w:val="15"/>
          <w:sz w:val="20"/>
          <w:highlight w:val="none"/>
          <w:lang w:val="en-US" w:eastAsia="zh-CN"/>
        </w:rPr>
        <w:t>21</w:t>
      </w:r>
      <w:r>
        <w:rPr>
          <w:rFonts w:hint="eastAsia" w:ascii="宋体" w:hAnsi="宋体" w:cs="宋体"/>
          <w:color w:val="auto"/>
          <w:spacing w:val="17"/>
          <w:position w:val="15"/>
          <w:sz w:val="20"/>
          <w:highlight w:val="none"/>
        </w:rPr>
        <w:t>年1月1日起至投标截止日，以合同签订时间为准。</w:t>
      </w:r>
    </w:p>
    <w:p w14:paraId="10D2F6AF">
      <w:pPr>
        <w:widowControl/>
        <w:snapToGrid w:val="0"/>
        <w:spacing w:line="560" w:lineRule="exact"/>
        <w:ind w:firstLine="468" w:firstLineChars="200"/>
        <w:textAlignment w:val="baseline"/>
        <w:rPr>
          <w:rFonts w:ascii="宋体" w:hAnsi="宋体" w:cs="宋体"/>
          <w:color w:val="auto"/>
          <w:spacing w:val="17"/>
          <w:position w:val="15"/>
          <w:sz w:val="20"/>
          <w:highlight w:val="none"/>
        </w:rPr>
      </w:pPr>
      <w:r>
        <w:rPr>
          <w:rFonts w:hint="eastAsia" w:ascii="宋体" w:hAnsi="宋体" w:cs="宋体"/>
          <w:color w:val="auto"/>
          <w:spacing w:val="17"/>
          <w:position w:val="15"/>
          <w:sz w:val="20"/>
          <w:highlight w:val="none"/>
        </w:rPr>
        <w:t>2.提供其业绩证明材料为项目合同影印件（黑白或彩色），证明材料应加盖比选人单位章。其中合同协议书中业绩不能反映资格审査条件内容的可加附委托人出具的证明影印件(黑白或彩色)。</w:t>
      </w:r>
    </w:p>
    <w:p w14:paraId="6D216A9A">
      <w:pPr>
        <w:pStyle w:val="12"/>
        <w:spacing w:line="245" w:lineRule="auto"/>
        <w:rPr>
          <w:rFonts w:hint="default"/>
          <w:color w:val="auto"/>
          <w:highlight w:val="none"/>
        </w:rPr>
      </w:pPr>
    </w:p>
    <w:p w14:paraId="457ECAD8">
      <w:pPr>
        <w:pStyle w:val="12"/>
        <w:spacing w:line="246" w:lineRule="auto"/>
        <w:rPr>
          <w:rFonts w:hint="default"/>
          <w:color w:val="auto"/>
          <w:highlight w:val="none"/>
        </w:rPr>
      </w:pPr>
    </w:p>
    <w:p w14:paraId="1FF06007">
      <w:pPr>
        <w:pStyle w:val="12"/>
        <w:spacing w:line="246" w:lineRule="auto"/>
        <w:rPr>
          <w:rFonts w:hint="default"/>
          <w:color w:val="auto"/>
          <w:highlight w:val="none"/>
        </w:rPr>
      </w:pPr>
    </w:p>
    <w:p w14:paraId="7D683324">
      <w:pPr>
        <w:pStyle w:val="12"/>
        <w:spacing w:line="246" w:lineRule="auto"/>
        <w:rPr>
          <w:rFonts w:hint="default"/>
          <w:color w:val="auto"/>
          <w:highlight w:val="none"/>
        </w:rPr>
      </w:pPr>
    </w:p>
    <w:p w14:paraId="4E6F17F7">
      <w:pPr>
        <w:pStyle w:val="12"/>
        <w:spacing w:line="246" w:lineRule="auto"/>
        <w:rPr>
          <w:rFonts w:hint="default"/>
          <w:color w:val="auto"/>
          <w:highlight w:val="none"/>
        </w:rPr>
      </w:pPr>
    </w:p>
    <w:p w14:paraId="0A7F69AA">
      <w:pPr>
        <w:pStyle w:val="12"/>
        <w:spacing w:line="246" w:lineRule="auto"/>
        <w:rPr>
          <w:rFonts w:hint="default"/>
          <w:color w:val="auto"/>
          <w:highlight w:val="none"/>
        </w:rPr>
      </w:pPr>
    </w:p>
    <w:p w14:paraId="29E1E6A7">
      <w:pPr>
        <w:pStyle w:val="12"/>
        <w:spacing w:line="246" w:lineRule="auto"/>
        <w:rPr>
          <w:rFonts w:hint="default"/>
          <w:color w:val="auto"/>
          <w:highlight w:val="none"/>
        </w:rPr>
      </w:pPr>
    </w:p>
    <w:p w14:paraId="26C370C5">
      <w:pPr>
        <w:pStyle w:val="12"/>
        <w:spacing w:line="246" w:lineRule="auto"/>
        <w:rPr>
          <w:rFonts w:hint="default"/>
          <w:color w:val="auto"/>
          <w:highlight w:val="none"/>
        </w:rPr>
      </w:pPr>
    </w:p>
    <w:p w14:paraId="74005D15">
      <w:pPr>
        <w:pStyle w:val="12"/>
        <w:spacing w:line="246" w:lineRule="auto"/>
        <w:rPr>
          <w:rFonts w:hint="default"/>
          <w:color w:val="auto"/>
          <w:highlight w:val="none"/>
        </w:rPr>
      </w:pPr>
    </w:p>
    <w:p w14:paraId="74E9C6FD">
      <w:pPr>
        <w:pStyle w:val="12"/>
        <w:spacing w:line="246" w:lineRule="auto"/>
        <w:rPr>
          <w:rFonts w:hint="default"/>
          <w:color w:val="auto"/>
          <w:highlight w:val="none"/>
        </w:rPr>
      </w:pPr>
    </w:p>
    <w:p w14:paraId="06E9C7E5">
      <w:pPr>
        <w:pStyle w:val="12"/>
        <w:spacing w:line="246" w:lineRule="auto"/>
        <w:rPr>
          <w:rFonts w:hint="default"/>
          <w:color w:val="auto"/>
          <w:highlight w:val="none"/>
        </w:rPr>
      </w:pPr>
    </w:p>
    <w:p w14:paraId="24E32BF7">
      <w:pPr>
        <w:pStyle w:val="12"/>
        <w:spacing w:line="246" w:lineRule="auto"/>
        <w:rPr>
          <w:rFonts w:hint="default"/>
          <w:color w:val="auto"/>
          <w:highlight w:val="none"/>
        </w:rPr>
      </w:pPr>
    </w:p>
    <w:p w14:paraId="3A181769">
      <w:pPr>
        <w:pStyle w:val="12"/>
        <w:spacing w:line="246" w:lineRule="auto"/>
        <w:rPr>
          <w:rFonts w:hint="default"/>
          <w:color w:val="auto"/>
          <w:highlight w:val="none"/>
        </w:rPr>
      </w:pPr>
    </w:p>
    <w:p w14:paraId="279E4F7C">
      <w:pPr>
        <w:pStyle w:val="12"/>
        <w:spacing w:line="246" w:lineRule="auto"/>
        <w:rPr>
          <w:rFonts w:hint="default"/>
          <w:color w:val="auto"/>
          <w:highlight w:val="none"/>
        </w:rPr>
      </w:pPr>
    </w:p>
    <w:p w14:paraId="6FBBB5A8">
      <w:pPr>
        <w:pStyle w:val="12"/>
        <w:spacing w:line="246" w:lineRule="auto"/>
        <w:rPr>
          <w:rFonts w:hint="default"/>
          <w:color w:val="auto"/>
          <w:highlight w:val="none"/>
        </w:rPr>
      </w:pPr>
    </w:p>
    <w:p w14:paraId="5CFBB109">
      <w:pPr>
        <w:pStyle w:val="12"/>
        <w:spacing w:line="246" w:lineRule="auto"/>
        <w:rPr>
          <w:rFonts w:hint="default"/>
          <w:color w:val="auto"/>
          <w:highlight w:val="none"/>
        </w:rPr>
      </w:pPr>
    </w:p>
    <w:p w14:paraId="746A8410">
      <w:pPr>
        <w:pStyle w:val="12"/>
        <w:spacing w:line="246" w:lineRule="auto"/>
        <w:rPr>
          <w:rFonts w:hint="default"/>
          <w:color w:val="auto"/>
          <w:highlight w:val="none"/>
        </w:rPr>
      </w:pPr>
    </w:p>
    <w:p w14:paraId="515C6188">
      <w:pPr>
        <w:pStyle w:val="12"/>
        <w:spacing w:line="246" w:lineRule="auto"/>
        <w:rPr>
          <w:rFonts w:hint="default"/>
          <w:color w:val="auto"/>
          <w:highlight w:val="none"/>
        </w:rPr>
      </w:pPr>
    </w:p>
    <w:p w14:paraId="02038ED9">
      <w:pPr>
        <w:pStyle w:val="12"/>
        <w:spacing w:line="246" w:lineRule="auto"/>
        <w:rPr>
          <w:rFonts w:hint="default"/>
          <w:color w:val="auto"/>
          <w:highlight w:val="none"/>
        </w:rPr>
      </w:pPr>
    </w:p>
    <w:p w14:paraId="43A7F770">
      <w:pPr>
        <w:pStyle w:val="12"/>
        <w:spacing w:line="246" w:lineRule="auto"/>
        <w:rPr>
          <w:rFonts w:hint="default"/>
          <w:color w:val="auto"/>
          <w:highlight w:val="none"/>
        </w:rPr>
      </w:pPr>
    </w:p>
    <w:p w14:paraId="1FED9B28">
      <w:pPr>
        <w:pStyle w:val="12"/>
        <w:spacing w:line="246" w:lineRule="auto"/>
        <w:rPr>
          <w:rFonts w:hint="default"/>
          <w:color w:val="auto"/>
          <w:highlight w:val="none"/>
        </w:rPr>
      </w:pPr>
    </w:p>
    <w:p w14:paraId="40B5E66A">
      <w:pPr>
        <w:pStyle w:val="12"/>
        <w:spacing w:line="246" w:lineRule="auto"/>
        <w:rPr>
          <w:rFonts w:hint="default"/>
          <w:color w:val="auto"/>
          <w:highlight w:val="none"/>
        </w:rPr>
      </w:pPr>
    </w:p>
    <w:p w14:paraId="3A65854F">
      <w:pPr>
        <w:pStyle w:val="12"/>
        <w:spacing w:line="246" w:lineRule="auto"/>
        <w:rPr>
          <w:rFonts w:hint="default"/>
          <w:color w:val="auto"/>
          <w:highlight w:val="none"/>
        </w:rPr>
      </w:pPr>
    </w:p>
    <w:p w14:paraId="7FE880AD">
      <w:pPr>
        <w:pStyle w:val="12"/>
        <w:spacing w:line="246" w:lineRule="auto"/>
        <w:ind w:left="0"/>
        <w:rPr>
          <w:rFonts w:hint="default"/>
          <w:color w:val="auto"/>
          <w:highlight w:val="none"/>
        </w:rPr>
      </w:pPr>
    </w:p>
    <w:p w14:paraId="4F0B29EE">
      <w:pPr>
        <w:pStyle w:val="12"/>
        <w:spacing w:line="246" w:lineRule="auto"/>
        <w:rPr>
          <w:rFonts w:hint="default"/>
          <w:color w:val="auto"/>
          <w:highlight w:val="none"/>
        </w:rPr>
      </w:pPr>
    </w:p>
    <w:p w14:paraId="2D3B7F64">
      <w:pPr>
        <w:pStyle w:val="12"/>
        <w:spacing w:line="266" w:lineRule="auto"/>
        <w:rPr>
          <w:rFonts w:hint="default"/>
          <w:color w:val="auto"/>
          <w:highlight w:val="none"/>
        </w:rPr>
      </w:pPr>
    </w:p>
    <w:p w14:paraId="11221C98">
      <w:pPr>
        <w:spacing w:before="100" w:line="224" w:lineRule="auto"/>
        <w:ind w:left="3068"/>
        <w:outlineLvl w:val="1"/>
        <w:rPr>
          <w:rFonts w:ascii="宋体" w:hAnsi="宋体" w:cs="宋体"/>
          <w:color w:val="auto"/>
          <w:sz w:val="31"/>
          <w:szCs w:val="31"/>
          <w:highlight w:val="none"/>
        </w:rPr>
      </w:pPr>
      <w:r>
        <w:rPr>
          <w:rFonts w:ascii="宋体" w:hAnsi="宋体" w:cs="宋体"/>
          <w:color w:val="auto"/>
          <w:spacing w:val="8"/>
          <w:sz w:val="31"/>
          <w:szCs w:val="31"/>
          <w:highlight w:val="none"/>
        </w:rPr>
        <w:t>（</w:t>
      </w:r>
      <w:r>
        <w:rPr>
          <w:rFonts w:hint="eastAsia" w:ascii="宋体" w:hAnsi="宋体" w:cs="宋体"/>
          <w:color w:val="auto"/>
          <w:spacing w:val="8"/>
          <w:sz w:val="31"/>
          <w:szCs w:val="31"/>
          <w:highlight w:val="none"/>
        </w:rPr>
        <w:t>三</w:t>
      </w:r>
      <w:r>
        <w:rPr>
          <w:rFonts w:ascii="宋体" w:hAnsi="宋体" w:cs="宋体"/>
          <w:color w:val="auto"/>
          <w:spacing w:val="8"/>
          <w:sz w:val="31"/>
          <w:szCs w:val="31"/>
          <w:highlight w:val="none"/>
        </w:rPr>
        <w:t>）</w:t>
      </w:r>
      <w:r>
        <w:rPr>
          <w:rFonts w:hint="eastAsia" w:ascii="宋体" w:hAnsi="宋体" w:cs="宋体"/>
          <w:color w:val="auto"/>
          <w:spacing w:val="8"/>
          <w:sz w:val="31"/>
          <w:szCs w:val="31"/>
          <w:highlight w:val="none"/>
        </w:rPr>
        <w:t>比选人</w:t>
      </w:r>
      <w:r>
        <w:rPr>
          <w:rFonts w:ascii="宋体" w:hAnsi="宋体" w:cs="宋体"/>
          <w:color w:val="auto"/>
          <w:spacing w:val="8"/>
          <w:sz w:val="31"/>
          <w:szCs w:val="31"/>
          <w:highlight w:val="none"/>
        </w:rPr>
        <w:t>信誉情况</w:t>
      </w:r>
    </w:p>
    <w:p w14:paraId="36697F99">
      <w:pPr>
        <w:pStyle w:val="12"/>
        <w:spacing w:line="258" w:lineRule="auto"/>
        <w:rPr>
          <w:rFonts w:hint="default"/>
          <w:color w:val="auto"/>
          <w:highlight w:val="none"/>
        </w:rPr>
      </w:pPr>
    </w:p>
    <w:p w14:paraId="760BEA7E">
      <w:pPr>
        <w:pStyle w:val="12"/>
        <w:spacing w:line="258" w:lineRule="auto"/>
        <w:rPr>
          <w:rFonts w:hint="default"/>
          <w:color w:val="auto"/>
          <w:highlight w:val="none"/>
        </w:rPr>
      </w:pPr>
    </w:p>
    <w:p w14:paraId="352984FA">
      <w:pPr>
        <w:widowControl/>
        <w:snapToGrid w:val="0"/>
        <w:spacing w:line="560" w:lineRule="exact"/>
        <w:textAlignment w:val="baseline"/>
        <w:rPr>
          <w:rFonts w:ascii="宋体" w:hAnsi="宋体" w:cs="宋体"/>
          <w:color w:val="auto"/>
          <w:sz w:val="20"/>
          <w:highlight w:val="none"/>
        </w:rPr>
      </w:pPr>
      <w:r>
        <w:rPr>
          <w:rFonts w:ascii="宋体" w:hAnsi="宋体" w:cs="宋体"/>
          <w:color w:val="auto"/>
          <w:spacing w:val="-8"/>
          <w:sz w:val="20"/>
          <w:highlight w:val="none"/>
        </w:rPr>
        <w:t>附：</w:t>
      </w:r>
    </w:p>
    <w:p w14:paraId="267A9150">
      <w:pPr>
        <w:widowControl/>
        <w:snapToGrid w:val="0"/>
        <w:spacing w:line="560" w:lineRule="exact"/>
        <w:ind w:firstLine="468" w:firstLineChars="200"/>
        <w:textAlignment w:val="baseline"/>
        <w:rPr>
          <w:rFonts w:ascii="宋体" w:hAnsi="宋体" w:cs="宋体"/>
          <w:color w:val="auto"/>
          <w:spacing w:val="17"/>
          <w:position w:val="15"/>
          <w:sz w:val="20"/>
          <w:highlight w:val="none"/>
        </w:rPr>
      </w:pPr>
      <w:r>
        <w:rPr>
          <w:rFonts w:hint="eastAsia" w:ascii="宋体" w:hAnsi="宋体" w:cs="宋体"/>
          <w:color w:val="auto"/>
          <w:spacing w:val="17"/>
          <w:position w:val="15"/>
          <w:sz w:val="20"/>
          <w:highlight w:val="none"/>
        </w:rPr>
        <w:t>1.比选人（单位）在通过“信用中国”查询“失信被执行人”链接“中国执行信息公开网（</w:t>
      </w:r>
      <w:r>
        <w:rPr>
          <w:color w:val="auto"/>
          <w:highlight w:val="none"/>
        </w:rPr>
        <w:fldChar w:fldCharType="begin"/>
      </w:r>
      <w:r>
        <w:rPr>
          <w:color w:val="auto"/>
          <w:highlight w:val="none"/>
        </w:rPr>
        <w:instrText xml:space="preserve"> HYPERLINK "http://zxgk.court.gov.cn/shixin/" </w:instrText>
      </w:r>
      <w:r>
        <w:rPr>
          <w:color w:val="auto"/>
          <w:highlight w:val="none"/>
        </w:rPr>
        <w:fldChar w:fldCharType="separate"/>
      </w:r>
      <w:r>
        <w:rPr>
          <w:rFonts w:hint="eastAsia" w:ascii="宋体" w:hAnsi="宋体" w:cs="宋体"/>
          <w:color w:val="auto"/>
          <w:spacing w:val="17"/>
          <w:position w:val="15"/>
          <w:sz w:val="20"/>
          <w:highlight w:val="none"/>
        </w:rPr>
        <w:t>http://zxgk.court.gov.cn/shixin/</w:t>
      </w:r>
      <w:r>
        <w:rPr>
          <w:rFonts w:hint="eastAsia" w:ascii="宋体" w:hAnsi="宋体" w:cs="宋体"/>
          <w:color w:val="auto"/>
          <w:spacing w:val="17"/>
          <w:position w:val="15"/>
          <w:sz w:val="20"/>
          <w:highlight w:val="none"/>
        </w:rPr>
        <w:fldChar w:fldCharType="end"/>
      </w:r>
      <w:r>
        <w:rPr>
          <w:rFonts w:hint="eastAsia" w:ascii="宋体" w:hAnsi="宋体" w:cs="宋体"/>
          <w:color w:val="auto"/>
          <w:spacing w:val="17"/>
          <w:position w:val="15"/>
          <w:sz w:val="20"/>
          <w:highlight w:val="none"/>
        </w:rPr>
        <w:t>）”的结果网页截图影印件（彩色或黑白）。</w:t>
      </w:r>
    </w:p>
    <w:p w14:paraId="19314C70">
      <w:pPr>
        <w:widowControl/>
        <w:snapToGrid w:val="0"/>
        <w:spacing w:line="560" w:lineRule="exact"/>
        <w:ind w:firstLine="468" w:firstLineChars="200"/>
        <w:textAlignment w:val="baseline"/>
        <w:rPr>
          <w:rFonts w:ascii="宋体" w:hAnsi="宋体" w:cs="宋体"/>
          <w:color w:val="auto"/>
          <w:spacing w:val="17"/>
          <w:position w:val="15"/>
          <w:sz w:val="20"/>
          <w:highlight w:val="none"/>
        </w:rPr>
        <w:sectPr>
          <w:headerReference r:id="rId22" w:type="default"/>
          <w:footerReference r:id="rId23" w:type="default"/>
          <w:pgSz w:w="11906" w:h="16839"/>
          <w:pgMar w:top="1098" w:right="1134" w:bottom="1150" w:left="1473" w:header="878" w:footer="984" w:gutter="0"/>
          <w:cols w:space="720" w:num="1"/>
        </w:sectPr>
      </w:pPr>
      <w:r>
        <w:rPr>
          <w:rFonts w:hint="eastAsia" w:ascii="宋体" w:hAnsi="宋体" w:cs="宋体"/>
          <w:color w:val="auto"/>
          <w:spacing w:val="17"/>
          <w:position w:val="15"/>
          <w:sz w:val="20"/>
          <w:highlight w:val="none"/>
        </w:rPr>
        <w:t>2.比选人在国家企业信用信息公示系统（www.gsxt.gov.cn）中严重违法失信企业名单查询结果网页截图）影印件（彩色或黑白）。</w:t>
      </w:r>
    </w:p>
    <w:p w14:paraId="59178681">
      <w:pPr>
        <w:pStyle w:val="12"/>
        <w:spacing w:line="291" w:lineRule="auto"/>
        <w:ind w:left="0"/>
        <w:rPr>
          <w:rFonts w:hint="default"/>
          <w:color w:val="auto"/>
          <w:highlight w:val="none"/>
        </w:rPr>
      </w:pPr>
    </w:p>
    <w:p w14:paraId="2C683C50">
      <w:pPr>
        <w:spacing w:before="91" w:line="220" w:lineRule="auto"/>
        <w:ind w:firstLine="3614" w:firstLineChars="1300"/>
        <w:outlineLvl w:val="0"/>
        <w:rPr>
          <w:rFonts w:ascii="宋体" w:hAnsi="宋体" w:cs="宋体"/>
          <w:color w:val="auto"/>
          <w:sz w:val="28"/>
          <w:szCs w:val="28"/>
          <w:highlight w:val="none"/>
        </w:rPr>
      </w:pPr>
      <w:bookmarkStart w:id="42" w:name="_Toc30078"/>
      <w:bookmarkStart w:id="43" w:name="_Toc30758"/>
      <w:r>
        <w:rPr>
          <w:rFonts w:ascii="宋体" w:hAnsi="宋体" w:cs="宋体"/>
          <w:color w:val="auto"/>
          <w:spacing w:val="-1"/>
          <w:sz w:val="28"/>
          <w:szCs w:val="28"/>
          <w:highlight w:val="none"/>
        </w:rPr>
        <w:t>无行贿犯罪的承诺函</w:t>
      </w:r>
      <w:bookmarkEnd w:id="42"/>
      <w:bookmarkEnd w:id="43"/>
    </w:p>
    <w:p w14:paraId="6D3E4EF9">
      <w:pPr>
        <w:pStyle w:val="12"/>
        <w:spacing w:line="448" w:lineRule="auto"/>
        <w:rPr>
          <w:rFonts w:hint="default"/>
          <w:color w:val="auto"/>
          <w:highlight w:val="none"/>
        </w:rPr>
      </w:pPr>
    </w:p>
    <w:p w14:paraId="55FE82A8">
      <w:pPr>
        <w:tabs>
          <w:tab w:val="left" w:pos="432"/>
        </w:tabs>
        <w:spacing w:before="65" w:line="228" w:lineRule="auto"/>
        <w:rPr>
          <w:rFonts w:ascii="宋体" w:hAnsi="宋体" w:cs="宋体"/>
          <w:color w:val="auto"/>
          <w:sz w:val="20"/>
          <w:highlight w:val="none"/>
        </w:rPr>
      </w:pPr>
      <w:r>
        <w:rPr>
          <w:rFonts w:ascii="宋体" w:hAnsi="宋体" w:cs="宋体"/>
          <w:color w:val="auto"/>
          <w:sz w:val="20"/>
          <w:highlight w:val="none"/>
          <w:u w:val="single"/>
        </w:rPr>
        <w:tab/>
      </w:r>
      <w:r>
        <w:rPr>
          <w:rFonts w:ascii="宋体" w:hAnsi="宋体" w:cs="宋体"/>
          <w:color w:val="auto"/>
          <w:spacing w:val="-11"/>
          <w:sz w:val="20"/>
          <w:highlight w:val="none"/>
          <w:u w:val="single"/>
        </w:rPr>
        <w:t>（招</w:t>
      </w:r>
      <w:r>
        <w:rPr>
          <w:rFonts w:hint="eastAsia" w:ascii="宋体" w:hAnsi="宋体" w:cs="宋体"/>
          <w:color w:val="auto"/>
          <w:spacing w:val="-11"/>
          <w:sz w:val="20"/>
          <w:highlight w:val="none"/>
          <w:u w:val="single"/>
        </w:rPr>
        <w:t>选</w:t>
      </w:r>
      <w:r>
        <w:rPr>
          <w:rFonts w:ascii="宋体" w:hAnsi="宋体" w:cs="宋体"/>
          <w:color w:val="auto"/>
          <w:spacing w:val="-11"/>
          <w:sz w:val="20"/>
          <w:highlight w:val="none"/>
          <w:u w:val="single"/>
        </w:rPr>
        <w:t>人名称</w:t>
      </w:r>
      <w:r>
        <w:rPr>
          <w:rFonts w:ascii="宋体" w:hAnsi="宋体" w:cs="宋体"/>
          <w:color w:val="auto"/>
          <w:spacing w:val="2"/>
          <w:sz w:val="20"/>
          <w:highlight w:val="none"/>
          <w:u w:val="single"/>
        </w:rPr>
        <w:t>）</w:t>
      </w:r>
      <w:r>
        <w:rPr>
          <w:rFonts w:ascii="宋体" w:hAnsi="宋体" w:cs="宋体"/>
          <w:color w:val="auto"/>
          <w:spacing w:val="2"/>
          <w:sz w:val="20"/>
          <w:highlight w:val="none"/>
        </w:rPr>
        <w:t>：</w:t>
      </w:r>
    </w:p>
    <w:p w14:paraId="3F6E407A">
      <w:pPr>
        <w:pStyle w:val="12"/>
        <w:spacing w:line="250" w:lineRule="auto"/>
        <w:rPr>
          <w:rFonts w:hint="default"/>
          <w:color w:val="auto"/>
          <w:highlight w:val="none"/>
        </w:rPr>
      </w:pPr>
    </w:p>
    <w:p w14:paraId="76E9593A">
      <w:pPr>
        <w:pStyle w:val="12"/>
        <w:spacing w:line="250" w:lineRule="auto"/>
        <w:rPr>
          <w:rFonts w:hint="default"/>
          <w:color w:val="auto"/>
          <w:highlight w:val="none"/>
        </w:rPr>
      </w:pPr>
    </w:p>
    <w:p w14:paraId="1E9DB441">
      <w:pPr>
        <w:spacing w:before="65" w:line="377" w:lineRule="auto"/>
        <w:ind w:left="8" w:firstLine="421"/>
        <w:jc w:val="both"/>
        <w:rPr>
          <w:rFonts w:ascii="宋体" w:hAnsi="宋体" w:cs="宋体"/>
          <w:color w:val="auto"/>
          <w:sz w:val="20"/>
          <w:highlight w:val="none"/>
        </w:rPr>
      </w:pPr>
      <w:r>
        <w:rPr>
          <w:rFonts w:ascii="宋体" w:hAnsi="宋体" w:cs="宋体"/>
          <w:color w:val="auto"/>
          <w:spacing w:val="10"/>
          <w:sz w:val="20"/>
          <w:highlight w:val="none"/>
        </w:rPr>
        <w:t>我公司</w:t>
      </w:r>
      <w:r>
        <w:rPr>
          <w:rFonts w:ascii="宋体" w:hAnsi="宋体" w:cs="宋体"/>
          <w:color w:val="auto"/>
          <w:spacing w:val="10"/>
          <w:sz w:val="20"/>
          <w:highlight w:val="none"/>
          <w:u w:val="single"/>
        </w:rPr>
        <w:t>（</w:t>
      </w:r>
      <w:r>
        <w:rPr>
          <w:rFonts w:hint="eastAsia" w:ascii="宋体" w:hAnsi="宋体" w:cs="宋体"/>
          <w:color w:val="auto"/>
          <w:spacing w:val="10"/>
          <w:sz w:val="20"/>
          <w:highlight w:val="none"/>
          <w:u w:val="single"/>
        </w:rPr>
        <w:t>比选</w:t>
      </w:r>
      <w:r>
        <w:rPr>
          <w:rFonts w:ascii="宋体" w:hAnsi="宋体" w:cs="宋体"/>
          <w:color w:val="auto"/>
          <w:spacing w:val="10"/>
          <w:sz w:val="20"/>
          <w:highlight w:val="none"/>
          <w:u w:val="single"/>
        </w:rPr>
        <w:t>人名称）</w:t>
      </w:r>
      <w:r>
        <w:rPr>
          <w:rFonts w:ascii="宋体" w:hAnsi="宋体" w:cs="宋体"/>
          <w:color w:val="auto"/>
          <w:spacing w:val="10"/>
          <w:sz w:val="20"/>
          <w:highlight w:val="none"/>
        </w:rPr>
        <w:t>、法定代表人</w:t>
      </w:r>
      <w:r>
        <w:rPr>
          <w:rFonts w:ascii="宋体" w:hAnsi="宋体" w:cs="宋体"/>
          <w:color w:val="auto"/>
          <w:spacing w:val="10"/>
          <w:sz w:val="20"/>
          <w:highlight w:val="none"/>
          <w:u w:val="single"/>
        </w:rPr>
        <w:t>（姓名</w:t>
      </w:r>
      <w:r>
        <w:rPr>
          <w:rFonts w:ascii="宋体" w:hAnsi="宋体" w:cs="宋体"/>
          <w:color w:val="auto"/>
          <w:spacing w:val="-13"/>
          <w:sz w:val="20"/>
          <w:highlight w:val="none"/>
          <w:u w:val="single"/>
        </w:rPr>
        <w:t>）（</w:t>
      </w:r>
      <w:r>
        <w:rPr>
          <w:rFonts w:ascii="宋体" w:hAnsi="宋体" w:cs="宋体"/>
          <w:color w:val="auto"/>
          <w:spacing w:val="10"/>
          <w:sz w:val="20"/>
          <w:highlight w:val="none"/>
          <w:u w:val="single"/>
        </w:rPr>
        <w:t>身份证号）、</w:t>
      </w:r>
      <w:r>
        <w:rPr>
          <w:rFonts w:ascii="宋体" w:hAnsi="宋体" w:cs="宋体"/>
          <w:color w:val="auto"/>
          <w:spacing w:val="10"/>
          <w:sz w:val="20"/>
          <w:highlight w:val="none"/>
        </w:rPr>
        <w:t>拟任项目负责人</w:t>
      </w:r>
      <w:r>
        <w:rPr>
          <w:rFonts w:ascii="宋体" w:hAnsi="宋体" w:cs="宋体"/>
          <w:color w:val="auto"/>
          <w:spacing w:val="10"/>
          <w:sz w:val="20"/>
          <w:highlight w:val="none"/>
          <w:u w:val="single"/>
        </w:rPr>
        <w:t>（姓</w:t>
      </w:r>
      <w:r>
        <w:rPr>
          <w:rFonts w:ascii="宋体" w:hAnsi="宋体" w:cs="宋体"/>
          <w:color w:val="auto"/>
          <w:spacing w:val="8"/>
          <w:sz w:val="20"/>
          <w:highlight w:val="none"/>
          <w:u w:val="single"/>
        </w:rPr>
        <w:t>名</w:t>
      </w:r>
      <w:r>
        <w:rPr>
          <w:rFonts w:ascii="宋体" w:hAnsi="宋体" w:cs="宋体"/>
          <w:color w:val="auto"/>
          <w:spacing w:val="-14"/>
          <w:sz w:val="20"/>
          <w:highlight w:val="none"/>
          <w:u w:val="single"/>
        </w:rPr>
        <w:t>）（</w:t>
      </w:r>
      <w:r>
        <w:rPr>
          <w:rFonts w:ascii="宋体" w:hAnsi="宋体" w:cs="宋体"/>
          <w:color w:val="auto"/>
          <w:spacing w:val="8"/>
          <w:sz w:val="20"/>
          <w:highlight w:val="none"/>
          <w:u w:val="single"/>
        </w:rPr>
        <w:t>身份证号）</w:t>
      </w:r>
      <w:r>
        <w:rPr>
          <w:rFonts w:ascii="宋体" w:hAnsi="宋体" w:cs="宋体"/>
          <w:color w:val="auto"/>
          <w:spacing w:val="8"/>
          <w:sz w:val="20"/>
          <w:highlight w:val="none"/>
        </w:rPr>
        <w:t>在202</w:t>
      </w:r>
      <w:r>
        <w:rPr>
          <w:rFonts w:hint="eastAsia" w:ascii="宋体" w:hAnsi="宋体" w:cs="宋体"/>
          <w:color w:val="auto"/>
          <w:spacing w:val="8"/>
          <w:sz w:val="20"/>
          <w:highlight w:val="none"/>
        </w:rPr>
        <w:t>1</w:t>
      </w:r>
      <w:r>
        <w:rPr>
          <w:rFonts w:ascii="宋体" w:hAnsi="宋体" w:cs="宋体"/>
          <w:color w:val="auto"/>
          <w:spacing w:val="8"/>
          <w:sz w:val="20"/>
          <w:highlight w:val="none"/>
        </w:rPr>
        <w:t>年1月1日至本项目投标</w:t>
      </w:r>
      <w:r>
        <w:rPr>
          <w:rFonts w:ascii="宋体" w:hAnsi="宋体" w:cs="宋体"/>
          <w:color w:val="auto"/>
          <w:spacing w:val="7"/>
          <w:sz w:val="20"/>
          <w:highlight w:val="none"/>
        </w:rPr>
        <w:t>截止日期间，没有被人民法院生效判决或裁定</w:t>
      </w:r>
      <w:r>
        <w:rPr>
          <w:rFonts w:ascii="宋体" w:hAnsi="宋体" w:cs="宋体"/>
          <w:color w:val="auto"/>
          <w:spacing w:val="10"/>
          <w:sz w:val="20"/>
          <w:highlight w:val="none"/>
        </w:rPr>
        <w:t>认定行贿犯罪（包括行贿罪、单位行贿罪、对单位行贿罪、介绍贿赂罪等）。若在中标合同签订之前</w:t>
      </w:r>
      <w:r>
        <w:rPr>
          <w:rFonts w:ascii="宋体" w:hAnsi="宋体" w:cs="宋体"/>
          <w:color w:val="auto"/>
          <w:spacing w:val="11"/>
          <w:sz w:val="20"/>
          <w:highlight w:val="none"/>
        </w:rPr>
        <w:t>发现我单位或法定代表人在上述期间存在行贿犯罪的，可取消我单位中标候选人或中标人资格。若在合同执行期间发现我单位或法定代表人在上述期间存在行贿犯罪的，可从合同款或履约保证金中扣除</w:t>
      </w:r>
      <w:r>
        <w:rPr>
          <w:rFonts w:ascii="宋体" w:hAnsi="宋体" w:cs="宋体"/>
          <w:color w:val="auto"/>
          <w:spacing w:val="7"/>
          <w:sz w:val="20"/>
          <w:highlight w:val="none"/>
        </w:rPr>
        <w:t>签约合同价的</w:t>
      </w:r>
      <w:r>
        <w:rPr>
          <w:rFonts w:ascii="宋体" w:hAnsi="宋体" w:cs="宋体"/>
          <w:color w:val="auto"/>
          <w:spacing w:val="7"/>
          <w:sz w:val="20"/>
          <w:highlight w:val="none"/>
          <w:u w:val="single"/>
        </w:rPr>
        <w:t>5%</w:t>
      </w:r>
      <w:r>
        <w:rPr>
          <w:rFonts w:ascii="宋体" w:hAnsi="宋体" w:cs="宋体"/>
          <w:color w:val="auto"/>
          <w:spacing w:val="7"/>
          <w:sz w:val="20"/>
          <w:highlight w:val="none"/>
        </w:rPr>
        <w:t>作为违约金。</w:t>
      </w:r>
    </w:p>
    <w:p w14:paraId="190B7CF9">
      <w:pPr>
        <w:pStyle w:val="12"/>
        <w:spacing w:line="337" w:lineRule="auto"/>
        <w:rPr>
          <w:rFonts w:hint="default"/>
          <w:color w:val="auto"/>
          <w:highlight w:val="none"/>
        </w:rPr>
      </w:pPr>
    </w:p>
    <w:p w14:paraId="03513F80">
      <w:pPr>
        <w:spacing w:before="65" w:line="228" w:lineRule="auto"/>
        <w:ind w:left="428"/>
        <w:rPr>
          <w:rFonts w:ascii="宋体" w:hAnsi="宋体" w:cs="宋体"/>
          <w:color w:val="auto"/>
          <w:sz w:val="20"/>
          <w:highlight w:val="none"/>
        </w:rPr>
      </w:pPr>
      <w:r>
        <w:rPr>
          <w:rFonts w:ascii="宋体" w:hAnsi="宋体" w:cs="宋体"/>
          <w:color w:val="auto"/>
          <w:spacing w:val="5"/>
          <w:sz w:val="20"/>
          <w:highlight w:val="none"/>
        </w:rPr>
        <w:t>特此承诺。</w:t>
      </w:r>
    </w:p>
    <w:p w14:paraId="25B6D054">
      <w:pPr>
        <w:pStyle w:val="12"/>
        <w:spacing w:line="286" w:lineRule="auto"/>
        <w:rPr>
          <w:rFonts w:hint="default"/>
          <w:color w:val="auto"/>
          <w:highlight w:val="none"/>
        </w:rPr>
      </w:pPr>
    </w:p>
    <w:p w14:paraId="1668F17A">
      <w:pPr>
        <w:pStyle w:val="12"/>
        <w:spacing w:line="286" w:lineRule="auto"/>
        <w:rPr>
          <w:rFonts w:hint="default"/>
          <w:color w:val="auto"/>
          <w:highlight w:val="none"/>
        </w:rPr>
      </w:pPr>
    </w:p>
    <w:p w14:paraId="6AB1BD10">
      <w:pPr>
        <w:pStyle w:val="12"/>
        <w:spacing w:line="286" w:lineRule="auto"/>
        <w:rPr>
          <w:rFonts w:hint="default"/>
          <w:color w:val="auto"/>
          <w:highlight w:val="none"/>
        </w:rPr>
      </w:pPr>
    </w:p>
    <w:p w14:paraId="75176A82">
      <w:pPr>
        <w:pStyle w:val="12"/>
        <w:spacing w:line="286" w:lineRule="auto"/>
        <w:rPr>
          <w:rFonts w:hint="default"/>
          <w:color w:val="auto"/>
          <w:highlight w:val="none"/>
        </w:rPr>
      </w:pPr>
    </w:p>
    <w:p w14:paraId="2D9FB8D7">
      <w:pPr>
        <w:pStyle w:val="12"/>
        <w:spacing w:line="287" w:lineRule="auto"/>
        <w:rPr>
          <w:rFonts w:hint="default"/>
          <w:color w:val="auto"/>
          <w:highlight w:val="none"/>
        </w:rPr>
      </w:pPr>
    </w:p>
    <w:p w14:paraId="1EDA784B">
      <w:pPr>
        <w:spacing w:before="66" w:line="227" w:lineRule="auto"/>
        <w:jc w:val="right"/>
        <w:rPr>
          <w:rFonts w:ascii="宋体" w:hAnsi="宋体" w:cs="宋体"/>
          <w:color w:val="auto"/>
          <w:sz w:val="20"/>
          <w:highlight w:val="none"/>
        </w:rPr>
      </w:pPr>
      <w:r>
        <w:rPr>
          <w:rFonts w:hint="eastAsia" w:ascii="宋体" w:hAnsi="宋体" w:cs="宋体"/>
          <w:color w:val="auto"/>
          <w:spacing w:val="14"/>
          <w:sz w:val="20"/>
          <w:highlight w:val="none"/>
        </w:rPr>
        <w:t>比选</w:t>
      </w:r>
      <w:r>
        <w:rPr>
          <w:rFonts w:ascii="宋体" w:hAnsi="宋体" w:cs="宋体"/>
          <w:color w:val="auto"/>
          <w:spacing w:val="14"/>
          <w:sz w:val="20"/>
          <w:highlight w:val="none"/>
        </w:rPr>
        <w:t>人</w:t>
      </w:r>
      <w:r>
        <w:rPr>
          <w:rFonts w:ascii="宋体" w:hAnsi="宋体" w:cs="宋体"/>
          <w:color w:val="auto"/>
          <w:spacing w:val="-10"/>
          <w:sz w:val="20"/>
          <w:highlight w:val="none"/>
        </w:rPr>
        <w:t>：</w:t>
      </w:r>
      <w:r>
        <w:rPr>
          <w:rFonts w:ascii="宋体" w:hAnsi="宋体" w:cs="宋体"/>
          <w:color w:val="auto"/>
          <w:spacing w:val="-10"/>
          <w:sz w:val="20"/>
          <w:highlight w:val="none"/>
          <w:u w:val="single" w:color="000000"/>
        </w:rPr>
        <w:t>（</w:t>
      </w:r>
      <w:r>
        <w:rPr>
          <w:rFonts w:ascii="宋体" w:hAnsi="宋体" w:cs="宋体"/>
          <w:color w:val="auto"/>
          <w:spacing w:val="14"/>
          <w:sz w:val="20"/>
          <w:highlight w:val="none"/>
          <w:u w:val="single" w:color="000000"/>
        </w:rPr>
        <w:t>全称</w:t>
      </w:r>
      <w:r>
        <w:rPr>
          <w:rFonts w:ascii="宋体" w:hAnsi="宋体" w:cs="宋体"/>
          <w:color w:val="auto"/>
          <w:spacing w:val="-10"/>
          <w:sz w:val="20"/>
          <w:highlight w:val="none"/>
          <w:u w:val="single" w:color="000000"/>
        </w:rPr>
        <w:t>）（</w:t>
      </w:r>
      <w:r>
        <w:rPr>
          <w:rFonts w:ascii="宋体" w:hAnsi="宋体" w:cs="宋体"/>
          <w:color w:val="auto"/>
          <w:spacing w:val="14"/>
          <w:sz w:val="20"/>
          <w:highlight w:val="none"/>
          <w:u w:val="single" w:color="000000"/>
        </w:rPr>
        <w:t>盖单位章或单位电子章）</w:t>
      </w:r>
    </w:p>
    <w:p w14:paraId="7B9ED504">
      <w:pPr>
        <w:spacing w:before="284" w:line="377" w:lineRule="auto"/>
        <w:ind w:right="3"/>
        <w:jc w:val="right"/>
        <w:rPr>
          <w:rFonts w:ascii="宋体" w:hAnsi="宋体" w:cs="宋体"/>
          <w:color w:val="auto"/>
          <w:sz w:val="20"/>
          <w:highlight w:val="none"/>
        </w:rPr>
      </w:pPr>
      <w:r>
        <w:rPr>
          <w:rFonts w:ascii="宋体" w:hAnsi="宋体" w:cs="宋体"/>
          <w:color w:val="auto"/>
          <w:spacing w:val="9"/>
          <w:sz w:val="20"/>
          <w:highlight w:val="none"/>
        </w:rPr>
        <w:t>法定代表人或授权的代理人</w:t>
      </w:r>
      <w:r>
        <w:rPr>
          <w:rFonts w:ascii="宋体" w:hAnsi="宋体" w:cs="宋体"/>
          <w:color w:val="auto"/>
          <w:spacing w:val="1"/>
          <w:sz w:val="20"/>
          <w:highlight w:val="none"/>
        </w:rPr>
        <w:t>：</w:t>
      </w:r>
      <w:r>
        <w:rPr>
          <w:rFonts w:ascii="宋体" w:hAnsi="宋体" w:cs="宋体"/>
          <w:color w:val="auto"/>
          <w:spacing w:val="1"/>
          <w:sz w:val="20"/>
          <w:highlight w:val="none"/>
          <w:u w:val="single" w:color="000000"/>
        </w:rPr>
        <w:t>（</w:t>
      </w:r>
      <w:r>
        <w:rPr>
          <w:rFonts w:ascii="宋体" w:hAnsi="宋体" w:cs="宋体"/>
          <w:color w:val="auto"/>
          <w:spacing w:val="9"/>
          <w:sz w:val="20"/>
          <w:highlight w:val="none"/>
          <w:u w:val="single" w:color="000000"/>
        </w:rPr>
        <w:t>职务、姓名）(签字或加盖个人电子签名</w:t>
      </w:r>
    </w:p>
    <w:p w14:paraId="4A6A8A9A">
      <w:pPr>
        <w:spacing w:before="1" w:line="226" w:lineRule="auto"/>
        <w:ind w:right="1"/>
        <w:jc w:val="right"/>
        <w:rPr>
          <w:rFonts w:ascii="宋体" w:hAnsi="宋体" w:cs="宋体"/>
          <w:color w:val="auto"/>
          <w:sz w:val="20"/>
          <w:highlight w:val="none"/>
        </w:rPr>
      </w:pPr>
      <w:r>
        <w:rPr>
          <w:rFonts w:ascii="宋体" w:hAnsi="宋体" w:cs="宋体"/>
          <w:color w:val="auto"/>
          <w:spacing w:val="8"/>
          <w:sz w:val="20"/>
          <w:highlight w:val="none"/>
          <w:u w:val="single" w:color="000000"/>
        </w:rPr>
        <w:t>章或加盖个人电子印章)</w:t>
      </w:r>
    </w:p>
    <w:p w14:paraId="61BEDDDC">
      <w:pPr>
        <w:pStyle w:val="12"/>
        <w:spacing w:line="275" w:lineRule="auto"/>
        <w:rPr>
          <w:rFonts w:hint="default"/>
          <w:color w:val="auto"/>
          <w:highlight w:val="none"/>
        </w:rPr>
      </w:pPr>
    </w:p>
    <w:p w14:paraId="7DDB21B9">
      <w:pPr>
        <w:spacing w:before="1" w:line="226" w:lineRule="auto"/>
        <w:ind w:firstLine="6272" w:firstLineChars="3200"/>
        <w:rPr>
          <w:rFonts w:ascii="宋体" w:hAnsi="宋体" w:cs="宋体"/>
          <w:color w:val="auto"/>
          <w:sz w:val="20"/>
          <w:highlight w:val="none"/>
        </w:rPr>
      </w:pPr>
      <w:r>
        <w:rPr>
          <w:rFonts w:ascii="宋体" w:hAnsi="宋体" w:cs="宋体"/>
          <w:color w:val="auto"/>
          <w:spacing w:val="-2"/>
          <w:sz w:val="20"/>
          <w:highlight w:val="none"/>
        </w:rPr>
        <w:t>日期：</w:t>
      </w:r>
      <w:r>
        <w:rPr>
          <w:rFonts w:hint="eastAsia" w:ascii="宋体" w:hAnsi="宋体" w:cs="宋体"/>
          <w:color w:val="auto"/>
          <w:spacing w:val="-2"/>
          <w:sz w:val="20"/>
          <w:highlight w:val="none"/>
        </w:rPr>
        <w:t xml:space="preserve">  </w:t>
      </w:r>
      <w:r>
        <w:rPr>
          <w:rFonts w:ascii="宋体" w:hAnsi="宋体" w:cs="宋体"/>
          <w:color w:val="auto"/>
          <w:spacing w:val="-2"/>
          <w:sz w:val="20"/>
          <w:highlight w:val="none"/>
        </w:rPr>
        <w:t>年</w:t>
      </w:r>
      <w:r>
        <w:rPr>
          <w:rFonts w:hint="eastAsia" w:ascii="宋体" w:hAnsi="宋体" w:cs="宋体"/>
          <w:color w:val="auto"/>
          <w:spacing w:val="-2"/>
          <w:sz w:val="20"/>
          <w:highlight w:val="none"/>
        </w:rPr>
        <w:t xml:space="preserve">   </w:t>
      </w:r>
      <w:r>
        <w:rPr>
          <w:rFonts w:ascii="宋体" w:hAnsi="宋体" w:cs="宋体"/>
          <w:color w:val="auto"/>
          <w:spacing w:val="-2"/>
          <w:sz w:val="20"/>
          <w:highlight w:val="none"/>
        </w:rPr>
        <w:t>月</w:t>
      </w:r>
      <w:r>
        <w:rPr>
          <w:rFonts w:hint="eastAsia" w:ascii="宋体" w:hAnsi="宋体" w:cs="宋体"/>
          <w:color w:val="auto"/>
          <w:spacing w:val="-2"/>
          <w:sz w:val="20"/>
          <w:highlight w:val="none"/>
        </w:rPr>
        <w:t xml:space="preserve">    </w:t>
      </w:r>
      <w:r>
        <w:rPr>
          <w:rFonts w:ascii="宋体" w:hAnsi="宋体" w:cs="宋体"/>
          <w:color w:val="auto"/>
          <w:spacing w:val="-2"/>
          <w:sz w:val="20"/>
          <w:highlight w:val="none"/>
        </w:rPr>
        <w:t>日</w:t>
      </w:r>
    </w:p>
    <w:p w14:paraId="45514931">
      <w:pPr>
        <w:pStyle w:val="12"/>
        <w:tabs>
          <w:tab w:val="left" w:pos="844"/>
          <w:tab w:val="left" w:pos="1583"/>
          <w:tab w:val="left" w:pos="2320"/>
        </w:tabs>
        <w:kinsoku w:val="0"/>
        <w:overflowPunct w:val="0"/>
        <w:spacing w:before="0" w:line="360" w:lineRule="auto"/>
        <w:ind w:left="319"/>
        <w:jc w:val="center"/>
        <w:rPr>
          <w:rFonts w:hint="default" w:cs="宋体"/>
          <w:color w:val="auto"/>
          <w:highlight w:val="none"/>
        </w:rPr>
        <w:sectPr>
          <w:footerReference r:id="rId24" w:type="default"/>
          <w:pgSz w:w="11900" w:h="16840"/>
          <w:pgMar w:top="1440" w:right="1080" w:bottom="1440" w:left="1080" w:header="881" w:footer="912" w:gutter="0"/>
          <w:cols w:space="720" w:num="1"/>
        </w:sectPr>
      </w:pPr>
      <w:r>
        <w:rPr>
          <w:rFonts w:cs="宋体"/>
          <w:color w:val="auto"/>
          <w:sz w:val="32"/>
          <w:highlight w:val="none"/>
        </w:rPr>
        <w:br w:type="page"/>
      </w:r>
      <w:bookmarkEnd w:id="41"/>
    </w:p>
    <w:p w14:paraId="7E35325F">
      <w:pPr>
        <w:pStyle w:val="12"/>
        <w:kinsoku w:val="0"/>
        <w:overflowPunct w:val="0"/>
        <w:spacing w:before="11" w:line="360" w:lineRule="auto"/>
        <w:ind w:left="0"/>
        <w:rPr>
          <w:rFonts w:hint="default" w:cs="宋体"/>
          <w:color w:val="auto"/>
          <w:sz w:val="16"/>
          <w:highlight w:val="none"/>
        </w:rPr>
      </w:pPr>
    </w:p>
    <w:p w14:paraId="19399E9C">
      <w:pPr>
        <w:rPr>
          <w:rFonts w:ascii="宋体" w:hAnsi="宋体" w:cs="宋体"/>
          <w:color w:val="auto"/>
          <w:sz w:val="28"/>
          <w:highlight w:val="none"/>
        </w:rPr>
      </w:pPr>
      <w:r>
        <w:rPr>
          <w:rFonts w:hint="eastAsia" w:ascii="宋体" w:hAnsi="宋体" w:cs="宋体"/>
          <w:color w:val="auto"/>
          <w:sz w:val="28"/>
          <w:highlight w:val="none"/>
        </w:rPr>
        <w:br w:type="page"/>
      </w:r>
    </w:p>
    <w:p w14:paraId="19BFDF48">
      <w:pPr>
        <w:pStyle w:val="12"/>
        <w:kinsoku w:val="0"/>
        <w:overflowPunct w:val="0"/>
        <w:spacing w:before="12" w:line="360" w:lineRule="auto"/>
        <w:ind w:left="0"/>
        <w:rPr>
          <w:rFonts w:hint="default" w:cs="宋体"/>
          <w:color w:val="auto"/>
          <w:sz w:val="18"/>
          <w:highlight w:val="none"/>
        </w:rPr>
      </w:pPr>
    </w:p>
    <w:p w14:paraId="65B54DD2">
      <w:pPr>
        <w:pStyle w:val="3"/>
        <w:spacing w:line="360" w:lineRule="auto"/>
        <w:ind w:left="0"/>
        <w:jc w:val="center"/>
        <w:rPr>
          <w:rFonts w:hint="default" w:eastAsia="宋体" w:cs="宋体"/>
          <w:color w:val="auto"/>
          <w:sz w:val="32"/>
          <w:szCs w:val="11"/>
          <w:highlight w:val="none"/>
          <w:lang w:val="en-US" w:eastAsia="zh-CN"/>
        </w:rPr>
      </w:pPr>
      <w:bookmarkStart w:id="44" w:name="_Toc8051"/>
      <w:r>
        <w:rPr>
          <w:rFonts w:cs="宋体"/>
          <w:color w:val="auto"/>
          <w:sz w:val="32"/>
          <w:szCs w:val="11"/>
          <w:highlight w:val="none"/>
        </w:rPr>
        <w:t>五、</w:t>
      </w:r>
      <w:bookmarkEnd w:id="44"/>
      <w:r>
        <w:rPr>
          <w:rFonts w:hint="eastAsia" w:cs="宋体"/>
          <w:color w:val="auto"/>
          <w:sz w:val="32"/>
          <w:szCs w:val="11"/>
          <w:highlight w:val="none"/>
          <w:lang w:val="en-US" w:eastAsia="zh-CN"/>
        </w:rPr>
        <w:t>资格证书</w:t>
      </w:r>
    </w:p>
    <w:p w14:paraId="492A25E4">
      <w:pPr>
        <w:spacing w:line="360" w:lineRule="auto"/>
        <w:ind w:firstLine="480" w:firstLineChars="200"/>
        <w:rPr>
          <w:rFonts w:ascii="宋体" w:hAnsi="宋体" w:cs="宋体"/>
          <w:color w:val="auto"/>
          <w:szCs w:val="22"/>
          <w:highlight w:val="none"/>
        </w:rPr>
      </w:pPr>
    </w:p>
    <w:bookmarkEnd w:id="45"/>
    <w:sectPr>
      <w:headerReference r:id="rId25" w:type="default"/>
      <w:footerReference r:id="rId26" w:type="default"/>
      <w:pgSz w:w="11900" w:h="16840"/>
      <w:pgMar w:top="1440" w:right="1080" w:bottom="1440" w:left="1080" w:header="881" w:footer="91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E5B34">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18A09">
    <w:pPr>
      <w:pStyle w:val="12"/>
      <w:kinsoku w:val="0"/>
      <w:overflowPunct w:val="0"/>
      <w:spacing w:before="0" w:line="14" w:lineRule="auto"/>
      <w:ind w:left="0"/>
      <w:rPr>
        <w:rFonts w:hint="default"/>
        <w:sz w:val="20"/>
      </w:rPr>
    </w:pPr>
    <w:r>
      <w:rPr>
        <w:rFonts w:hint="default"/>
        <w:sz w:val="36"/>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7"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C29F322">
                          <w:pPr>
                            <w:pStyle w:val="16"/>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45</w:t>
                          </w:r>
                          <w:r>
                            <w:rPr>
                              <w:rFonts w:ascii="宋体" w:hAnsi="宋体"/>
                              <w:sz w:val="28"/>
                            </w:rPr>
                            <w:fldChar w:fldCharType="end"/>
                          </w:r>
                          <w:r>
                            <w:rPr>
                              <w:rFonts w:ascii="宋体" w:hAnsi="宋体"/>
                              <w:sz w:val="24"/>
                            </w:rPr>
                            <w:t>　</w:t>
                          </w:r>
                          <w:r>
                            <w:rPr>
                              <w:rFonts w:ascii="宋体" w:hAnsi="宋体"/>
                              <w:sz w:val="28"/>
                            </w:rPr>
                            <w:t>—</w:t>
                          </w:r>
                        </w:p>
                      </w:txbxContent>
                    </wps:txbx>
                    <wps:bodyPr wrap="none" lIns="203200" tIns="0" rIns="203200" bIns="0" upright="1">
                      <a:spAutoFit/>
                    </wps:bodyPr>
                  </wps:wsp>
                </a:graphicData>
              </a:graphic>
            </wp:anchor>
          </w:drawing>
        </mc:Choice>
        <mc:Fallback>
          <w:pict>
            <v:shape id="文本框 23" o:spid="_x0000_s1026" o:spt="202" type="#_x0000_t202" style="position:absolute;left:0pt;margin-top:1pt;height:144pt;width:144pt;mso-position-horizontal:outside;mso-position-horizontal-relative:margin;mso-wrap-style:none;z-index:251666432;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qVKztYAAAAGAQAADwAAAAAAAAAB&#10;ACAAAAAiAAAAZHJzL2Rvd25yZXYueG1sUEsBAhQAFAAAAAgAh07iQPUQd8fZAQAArQMAAA4AAAAA&#10;AAAAAQAgAAAAJQEAAGRycy9lMm9Eb2MueG1sUEsFBgAAAAAGAAYAWQEAAHAFAAAAAA==&#10;">
              <v:fill on="f" focussize="0,0"/>
              <v:stroke on="f" weight="0.5pt"/>
              <v:imagedata o:title=""/>
              <o:lock v:ext="edit" aspectratio="f"/>
              <v:textbox inset="16pt,0mm,16pt,0mm" style="mso-fit-shape-to-text:t;">
                <w:txbxContent>
                  <w:p w14:paraId="4C29F322">
                    <w:pPr>
                      <w:pStyle w:val="16"/>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45</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F2285">
    <w:pPr>
      <w:pStyle w:val="12"/>
      <w:kinsoku w:val="0"/>
      <w:overflowPunct w:val="0"/>
      <w:spacing w:before="0" w:line="14" w:lineRule="auto"/>
      <w:ind w:left="0"/>
      <w:rPr>
        <w:rFonts w:hint="default"/>
        <w:sz w:val="20"/>
      </w:rPr>
    </w:pPr>
    <w:r>
      <w:rPr>
        <w:rFonts w:hint="default"/>
        <w:sz w:val="20"/>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8"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7C35AD4">
                          <w:pPr>
                            <w:pStyle w:val="16"/>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46</w:t>
                          </w:r>
                          <w:r>
                            <w:rPr>
                              <w:rFonts w:ascii="宋体" w:hAnsi="宋体"/>
                              <w:sz w:val="28"/>
                            </w:rPr>
                            <w:fldChar w:fldCharType="end"/>
                          </w:r>
                          <w:r>
                            <w:rPr>
                              <w:rFonts w:ascii="宋体" w:hAnsi="宋体"/>
                              <w:sz w:val="24"/>
                            </w:rPr>
                            <w:t>　</w:t>
                          </w:r>
                          <w:r>
                            <w:rPr>
                              <w:rFonts w:ascii="宋体" w:hAnsi="宋体"/>
                              <w:sz w:val="28"/>
                            </w:rPr>
                            <w:t>—</w:t>
                          </w:r>
                        </w:p>
                      </w:txbxContent>
                    </wps:txbx>
                    <wps:bodyPr wrap="none" lIns="203200" tIns="0" rIns="203200" bIns="0" upright="1">
                      <a:spAutoFit/>
                    </wps:bodyPr>
                  </wps:wsp>
                </a:graphicData>
              </a:graphic>
            </wp:anchor>
          </w:drawing>
        </mc:Choice>
        <mc:Fallback>
          <w:pict>
            <v:shape id="文本框 24" o:spid="_x0000_s1026" o:spt="202" type="#_x0000_t202" style="position:absolute;left:0pt;margin-top:1pt;height:144pt;width:144pt;mso-position-horizontal:outside;mso-position-horizontal-relative:margin;mso-wrap-style:none;z-index:251667456;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qVKztYAAAAGAQAADwAAAAAAAAAB&#10;ACAAAAAiAAAAZHJzL2Rvd25yZXYueG1sUEsBAhQAFAAAAAgAh07iQAYiX23ZAQAArQMAAA4AAAAA&#10;AAAAAQAgAAAAJQEAAGRycy9lMm9Eb2MueG1sUEsFBgAAAAAGAAYAWQEAAHAFAAAAAA==&#10;">
              <v:fill on="f" focussize="0,0"/>
              <v:stroke on="f" weight="0.5pt"/>
              <v:imagedata o:title=""/>
              <o:lock v:ext="edit" aspectratio="f"/>
              <v:textbox inset="16pt,0mm,16pt,0mm" style="mso-fit-shape-to-text:t;">
                <w:txbxContent>
                  <w:p w14:paraId="37C35AD4">
                    <w:pPr>
                      <w:pStyle w:val="16"/>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46</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262CE">
    <w:pPr>
      <w:spacing w:line="169" w:lineRule="auto"/>
      <w:ind w:left="4564"/>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9"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95463E8">
                          <w:pPr>
                            <w:pStyle w:val="16"/>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49</w:t>
                          </w:r>
                          <w:r>
                            <w:rPr>
                              <w:rFonts w:ascii="宋体" w:hAnsi="宋体"/>
                              <w:sz w:val="28"/>
                            </w:rPr>
                            <w:fldChar w:fldCharType="end"/>
                          </w:r>
                          <w:r>
                            <w:rPr>
                              <w:rFonts w:ascii="宋体" w:hAnsi="宋体"/>
                              <w:sz w:val="24"/>
                            </w:rPr>
                            <w:t>　</w:t>
                          </w:r>
                          <w:r>
                            <w:rPr>
                              <w:rFonts w:ascii="宋体" w:hAnsi="宋体"/>
                              <w:sz w:val="28"/>
                            </w:rPr>
                            <w:t>—</w:t>
                          </w:r>
                        </w:p>
                      </w:txbxContent>
                    </wps:txbx>
                    <wps:bodyPr wrap="none" lIns="203200" tIns="0" rIns="203200" bIns="0" upright="1">
                      <a:spAutoFit/>
                    </wps:bodyPr>
                  </wps:wsp>
                </a:graphicData>
              </a:graphic>
            </wp:anchor>
          </w:drawing>
        </mc:Choice>
        <mc:Fallback>
          <w:pict>
            <v:shape id="文本框 26" o:spid="_x0000_s1026" o:spt="202" type="#_x0000_t202" style="position:absolute;left:0pt;margin-top:1pt;height:144pt;width:144pt;mso-position-horizontal:outside;mso-position-horizontal-relative:margin;mso-wrap-style:none;z-index:251668480;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qVKztYAAAAGAQAADwAAAAAAAAAB&#10;ACAAAAAiAAAAZHJzL2Rvd25yZXYueG1sUEsBAhQAFAAAAAgAh07iQHcWoonZAQAArQMAAA4AAAAA&#10;AAAAAQAgAAAAJQEAAGRycy9lMm9Eb2MueG1sUEsFBgAAAAAGAAYAWQEAAHAFAAAAAA==&#10;">
              <v:fill on="f" focussize="0,0"/>
              <v:stroke on="f" weight="0.5pt"/>
              <v:imagedata o:title=""/>
              <o:lock v:ext="edit" aspectratio="f"/>
              <v:textbox inset="16pt,0mm,16pt,0mm" style="mso-fit-shape-to-text:t;">
                <w:txbxContent>
                  <w:p w14:paraId="095463E8">
                    <w:pPr>
                      <w:pStyle w:val="16"/>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49</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DABA2">
    <w:pPr>
      <w:spacing w:line="169" w:lineRule="auto"/>
      <w:ind w:left="4564"/>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1"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99C1CAC">
                          <w:pPr>
                            <w:pStyle w:val="16"/>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51</w:t>
                          </w:r>
                          <w:r>
                            <w:rPr>
                              <w:rFonts w:ascii="宋体" w:hAnsi="宋体"/>
                              <w:sz w:val="28"/>
                            </w:rPr>
                            <w:fldChar w:fldCharType="end"/>
                          </w:r>
                          <w:r>
                            <w:rPr>
                              <w:rFonts w:ascii="宋体" w:hAnsi="宋体"/>
                              <w:sz w:val="24"/>
                            </w:rPr>
                            <w:t>　</w:t>
                          </w:r>
                          <w:r>
                            <w:rPr>
                              <w:rFonts w:ascii="宋体" w:hAnsi="宋体"/>
                              <w:sz w:val="28"/>
                            </w:rPr>
                            <w:t>—</w:t>
                          </w:r>
                        </w:p>
                      </w:txbxContent>
                    </wps:txbx>
                    <wps:bodyPr wrap="none" lIns="203200" tIns="0" rIns="203200" bIns="0" upright="1">
                      <a:spAutoFit/>
                    </wps:bodyPr>
                  </wps:wsp>
                </a:graphicData>
              </a:graphic>
            </wp:anchor>
          </w:drawing>
        </mc:Choice>
        <mc:Fallback>
          <w:pict>
            <v:shape id="文本框 27" o:spid="_x0000_s1026" o:spt="202" type="#_x0000_t202" style="position:absolute;left:0pt;margin-top:1pt;height:144pt;width:144pt;mso-position-horizontal:outside;mso-position-horizontal-relative:margin;mso-wrap-style:none;z-index:25166950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qVKztYAAAAGAQAADwAAAAAAAAAB&#10;ACAAAAAiAAAAZHJzL2Rvd25yZXYueG1sUEsBAhQAFAAAAAgAh07iQKDW+YrZAQAArgMAAA4AAAAA&#10;AAAAAQAgAAAAJQEAAGRycy9lMm9Eb2MueG1sUEsFBgAAAAAGAAYAWQEAAHAFAAAAAA==&#10;">
              <v:fill on="f" focussize="0,0"/>
              <v:stroke on="f" weight="0.5pt"/>
              <v:imagedata o:title=""/>
              <o:lock v:ext="edit" aspectratio="f"/>
              <v:textbox inset="16pt,0mm,16pt,0mm" style="mso-fit-shape-to-text:t;">
                <w:txbxContent>
                  <w:p w14:paraId="599C1CAC">
                    <w:pPr>
                      <w:pStyle w:val="16"/>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51</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082AB">
    <w:pPr>
      <w:pStyle w:val="12"/>
      <w:kinsoku w:val="0"/>
      <w:overflowPunct w:val="0"/>
      <w:spacing w:before="0" w:line="14" w:lineRule="auto"/>
      <w:ind w:left="0"/>
      <w:rPr>
        <w:rFonts w:hint="default"/>
        <w:sz w:val="20"/>
      </w:rPr>
    </w:pPr>
    <w:r>
      <w:rPr>
        <w:rFonts w:hint="default"/>
        <w:sz w:val="20"/>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2"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715B5A8">
                          <w:pPr>
                            <w:pStyle w:val="16"/>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52</w:t>
                          </w:r>
                          <w:r>
                            <w:rPr>
                              <w:rFonts w:ascii="宋体" w:hAnsi="宋体"/>
                              <w:sz w:val="28"/>
                            </w:rPr>
                            <w:fldChar w:fldCharType="end"/>
                          </w:r>
                          <w:r>
                            <w:rPr>
                              <w:rFonts w:ascii="宋体" w:hAnsi="宋体"/>
                              <w:sz w:val="24"/>
                            </w:rPr>
                            <w:t>　</w:t>
                          </w:r>
                          <w:r>
                            <w:rPr>
                              <w:rFonts w:ascii="宋体" w:hAnsi="宋体"/>
                              <w:sz w:val="28"/>
                            </w:rPr>
                            <w:t>—</w:t>
                          </w:r>
                        </w:p>
                      </w:txbxContent>
                    </wps:txbx>
                    <wps:bodyPr wrap="none" lIns="203200" tIns="0" rIns="203200" bIns="0" upright="1">
                      <a:spAutoFit/>
                    </wps:bodyPr>
                  </wps:wsp>
                </a:graphicData>
              </a:graphic>
            </wp:anchor>
          </w:drawing>
        </mc:Choice>
        <mc:Fallback>
          <w:pict>
            <v:shape id="文本框 28" o:spid="_x0000_s1026" o:spt="202" type="#_x0000_t202" style="position:absolute;left:0pt;margin-top:1pt;height:144pt;width:144pt;mso-position-horizontal:outside;mso-position-horizontal-relative:margin;mso-wrap-style:none;z-index:251670528;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qVKztYAAAAGAQAADwAAAAAAAAAB&#10;ACAAAAAiAAAAZHJzL2Rvd25yZXYueG1sUEsBAhQAFAAAAAgAh07iQEq2O+zZAQAArgMAAA4AAAAA&#10;AAAAAQAgAAAAJQEAAGRycy9lMm9Eb2MueG1sUEsFBgAAAAAGAAYAWQEAAHAFAAAAAA==&#10;">
              <v:fill on="f" focussize="0,0"/>
              <v:stroke on="f" weight="0.5pt"/>
              <v:imagedata o:title=""/>
              <o:lock v:ext="edit" aspectratio="f"/>
              <v:textbox inset="16pt,0mm,16pt,0mm" style="mso-fit-shape-to-text:t;">
                <w:txbxContent>
                  <w:p w14:paraId="2715B5A8">
                    <w:pPr>
                      <w:pStyle w:val="16"/>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52</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DCE0F">
    <w:pPr>
      <w:pStyle w:val="12"/>
      <w:kinsoku w:val="0"/>
      <w:overflowPunct w:val="0"/>
      <w:spacing w:before="0" w:line="14" w:lineRule="auto"/>
      <w:ind w:left="0"/>
      <w:rPr>
        <w:rFonts w:hint="default"/>
        <w:sz w:val="20"/>
      </w:rPr>
    </w:pPr>
    <w:r>
      <w:rPr>
        <w:rFonts w:hint="default"/>
        <w:sz w:val="20"/>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3"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8ED0DF0">
                          <w:pPr>
                            <w:pStyle w:val="16"/>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54</w:t>
                          </w:r>
                          <w:r>
                            <w:rPr>
                              <w:rFonts w:ascii="宋体" w:hAnsi="宋体"/>
                              <w:sz w:val="28"/>
                            </w:rPr>
                            <w:fldChar w:fldCharType="end"/>
                          </w:r>
                          <w:r>
                            <w:rPr>
                              <w:rFonts w:ascii="宋体" w:hAnsi="宋体"/>
                              <w:sz w:val="24"/>
                            </w:rPr>
                            <w:t>　</w:t>
                          </w:r>
                          <w:r>
                            <w:rPr>
                              <w:rFonts w:ascii="宋体" w:hAnsi="宋体"/>
                              <w:sz w:val="28"/>
                            </w:rPr>
                            <w:t>—</w:t>
                          </w:r>
                        </w:p>
                      </w:txbxContent>
                    </wps:txbx>
                    <wps:bodyPr wrap="none" lIns="203200" tIns="0" rIns="203200" bIns="0" upright="1">
                      <a:spAutoFit/>
                    </wps:bodyPr>
                  </wps:wsp>
                </a:graphicData>
              </a:graphic>
            </wp:anchor>
          </w:drawing>
        </mc:Choice>
        <mc:Fallback>
          <w:pict>
            <v:shape id="文本框 29" o:spid="_x0000_s1026" o:spt="202" type="#_x0000_t202" style="position:absolute;left:0pt;margin-top:1pt;height:144pt;width:144pt;mso-position-horizontal:outside;mso-position-horizontal-relative:margin;mso-wrap-style:none;z-index:251671552;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qVKztYAAAAGAQAADwAAAAAAAAAB&#10;ACAAAAAiAAAAZHJzL2Rvd25yZXYueG1sUEsBAhQAFAAAAAgAh07iQCjm6n3ZAQAArgMAAA4AAAAA&#10;AAAAAQAgAAAAJQEAAGRycy9lMm9Eb2MueG1sUEsFBgAAAAAGAAYAWQEAAHAFAAAAAA==&#10;">
              <v:fill on="f" focussize="0,0"/>
              <v:stroke on="f" weight="0.5pt"/>
              <v:imagedata o:title=""/>
              <o:lock v:ext="edit" aspectratio="f"/>
              <v:textbox inset="16pt,0mm,16pt,0mm" style="mso-fit-shape-to-text:t;">
                <w:txbxContent>
                  <w:p w14:paraId="08ED0DF0">
                    <w:pPr>
                      <w:pStyle w:val="16"/>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54</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BA9BD">
    <w:pPr>
      <w:pStyle w:val="12"/>
      <w:kinsoku w:val="0"/>
      <w:overflowPunct w:val="0"/>
      <w:spacing w:before="0" w:line="14" w:lineRule="auto"/>
      <w:ind w:left="0"/>
      <w:rPr>
        <w:rFonts w:hint="default"/>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05F2A">
    <w:pPr>
      <w:pStyle w:val="12"/>
      <w:kinsoku w:val="0"/>
      <w:overflowPunct w:val="0"/>
      <w:spacing w:before="0" w:line="14" w:lineRule="auto"/>
      <w:ind w:left="0"/>
      <w:rPr>
        <w:rFonts w:hint="default"/>
        <w:sz w:val="20"/>
      </w:rPr>
    </w:pPr>
    <w:r>
      <w:rPr>
        <w:rFonts w:hint="default"/>
        <w:sz w:val="20"/>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4"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AF245B4">
                          <w:pPr>
                            <w:pStyle w:val="16"/>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4"/>
                            </w:rPr>
                            <w:t>　</w:t>
                          </w:r>
                          <w:r>
                            <w:rPr>
                              <w:rFonts w:ascii="宋体" w:hAnsi="宋体"/>
                              <w:sz w:val="28"/>
                            </w:rPr>
                            <w:t>—</w:t>
                          </w:r>
                        </w:p>
                      </w:txbxContent>
                    </wps:txbx>
                    <wps:bodyPr wrap="none" lIns="203200" tIns="0" rIns="203200" bIns="0" upright="1">
                      <a:spAutoFit/>
                    </wps:bodyPr>
                  </wps:wsp>
                </a:graphicData>
              </a:graphic>
            </wp:anchor>
          </w:drawing>
        </mc:Choice>
        <mc:Fallback>
          <w:pict>
            <v:shape id="文本框 30" o:spid="_x0000_s1026" o:spt="202" type="#_x0000_t202" style="position:absolute;left:0pt;margin-top:1pt;height:144pt;width:144pt;mso-position-horizontal:outside;mso-position-horizontal-relative:margin;mso-wrap-style:none;z-index:251672576;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qVKztYAAAAGAQAADwAAAAAAAAAB&#10;ACAAAAAiAAAAZHJzL2Rvd25yZXYueG1sUEsBAhQAFAAAAAgAh07iQMKsoKLZAQAArgMAAA4AAAAA&#10;AAAAAQAgAAAAJQEAAGRycy9lMm9Eb2MueG1sUEsFBgAAAAAGAAYAWQEAAHAFAAAAAA==&#10;">
              <v:fill on="f" focussize="0,0"/>
              <v:stroke on="f" weight="0.5pt"/>
              <v:imagedata o:title=""/>
              <o:lock v:ext="edit" aspectratio="f"/>
              <v:textbox inset="16pt,0mm,16pt,0mm" style="mso-fit-shape-to-text:t;">
                <w:txbxContent>
                  <w:p w14:paraId="0AF245B4">
                    <w:pPr>
                      <w:pStyle w:val="16"/>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66629">
    <w:pPr>
      <w:pStyle w:val="12"/>
      <w:kinsoku w:val="0"/>
      <w:overflowPunct w:val="0"/>
      <w:spacing w:before="0" w:line="14" w:lineRule="auto"/>
      <w:ind w:left="0"/>
      <w:rPr>
        <w:rFonts w:hint="default"/>
        <w:sz w:val="20"/>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05EC696">
                          <w:pPr>
                            <w:pStyle w:val="16"/>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7</w:t>
                          </w:r>
                          <w:r>
                            <w:rPr>
                              <w:rFonts w:ascii="宋体" w:hAnsi="宋体"/>
                              <w:sz w:val="28"/>
                            </w:rPr>
                            <w:fldChar w:fldCharType="end"/>
                          </w:r>
                          <w:r>
                            <w:rPr>
                              <w:rFonts w:ascii="宋体" w:hAnsi="宋体"/>
                              <w:sz w:val="24"/>
                            </w:rPr>
                            <w:t>　</w:t>
                          </w:r>
                          <w:r>
                            <w:rPr>
                              <w:rFonts w:ascii="宋体" w:hAnsi="宋体"/>
                              <w:sz w:val="28"/>
                            </w:rPr>
                            <w:t>—</w:t>
                          </w:r>
                        </w:p>
                      </w:txbxContent>
                    </wps:txbx>
                    <wps:bodyPr wrap="none" lIns="203200" tIns="0" rIns="203200" bIns="0" upright="1">
                      <a:spAutoFit/>
                    </wps:bodyPr>
                  </wps:wsp>
                </a:graphicData>
              </a:graphic>
            </wp:anchor>
          </w:drawing>
        </mc:Choice>
        <mc:Fallback>
          <w:pict>
            <v:shape id="文本框 17" o:spid="_x0000_s1026" o:spt="202" type="#_x0000_t202" style="position:absolute;left:0pt;margin-top:1pt;height:144pt;width:144pt;mso-position-horizontal:outside;mso-position-horizontal-relative:margin;mso-wrap-style:none;z-index:251661312;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GpUrO1gAAAAYBAAAPAAAAAAAAAAEA&#10;IAAAACIAAABkcnMvZG93bnJldi54bWxQSwECFAAUAAAACACHTuJAY9dxyNgBAACtAwAADgAAAAAA&#10;AAABACAAAAAlAQAAZHJzL2Uyb0RvYy54bWxQSwUGAAAAAAYABgBZAQAAbwUAAAAA&#10;">
              <v:fill on="f" focussize="0,0"/>
              <v:stroke on="f" weight="0.5pt"/>
              <v:imagedata o:title=""/>
              <o:lock v:ext="edit" aspectratio="f"/>
              <v:textbox inset="16pt,0mm,16pt,0mm" style="mso-fit-shape-to-text:t;">
                <w:txbxContent>
                  <w:p w14:paraId="505EC696">
                    <w:pPr>
                      <w:pStyle w:val="16"/>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7</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r>
      <w:rPr>
        <w:rFonts w:hint="default"/>
      </w:rPr>
      <mc:AlternateContent>
        <mc:Choice Requires="wps">
          <w:drawing>
            <wp:anchor distT="0" distB="0" distL="114300" distR="114300" simplePos="0" relativeHeight="251659264" behindDoc="1" locked="0" layoutInCell="1" allowOverlap="1">
              <wp:simplePos x="0" y="0"/>
              <wp:positionH relativeFrom="page">
                <wp:posOffset>3693795</wp:posOffset>
              </wp:positionH>
              <wp:positionV relativeFrom="page">
                <wp:posOffset>9997440</wp:posOffset>
              </wp:positionV>
              <wp:extent cx="92710" cy="16002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92710" cy="160020"/>
                      </a:xfrm>
                      <a:prstGeom prst="rect">
                        <a:avLst/>
                      </a:prstGeom>
                      <a:noFill/>
                      <a:ln>
                        <a:noFill/>
                      </a:ln>
                      <a:effectLst/>
                    </wps:spPr>
                    <wps:txbx>
                      <w:txbxContent>
                        <w:p w14:paraId="7F196DE0"/>
                      </w:txbxContent>
                    </wps:txbx>
                    <wps:bodyPr vert="horz" wrap="square" lIns="0" tIns="0" rIns="0" bIns="0" upright="1"/>
                  </wps:wsp>
                </a:graphicData>
              </a:graphic>
            </wp:anchor>
          </w:drawing>
        </mc:Choice>
        <mc:Fallback>
          <w:pict>
            <v:shape id="文本框 6" o:spid="_x0000_s1026" o:spt="202" type="#_x0000_t202" style="position:absolute;left:0pt;margin-left:290.85pt;margin-top:787.2pt;height:12.6pt;width:7.3pt;mso-position-horizontal-relative:page;mso-position-vertical-relative:page;z-index:-251657216;mso-width-relative:page;mso-height-relative:page;" filled="f" stroked="f" coordsize="21600,21600" o:gfxdata="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TEFx2wAAAA0BAAAPAAAAAAAAAAEAIAAAACIA&#10;AABkcnMvZG93bnJldi54bWxQSwECFAAUAAAACACHTuJAtiELms0BAACZAwAADgAAAAAAAAABACAA&#10;AAAqAQAAZHJzL2Uyb0RvYy54bWxQSwUGAAAAAAYABgBZAQAAaQUAAAAA&#10;">
              <v:fill on="f" focussize="0,0"/>
              <v:stroke on="f"/>
              <v:imagedata o:title=""/>
              <o:lock v:ext="edit" aspectratio="f"/>
              <v:textbox inset="0mm,0mm,0mm,0mm">
                <w:txbxContent>
                  <w:p w14:paraId="7F196DE0"/>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534CF">
    <w:pPr>
      <w:pStyle w:val="12"/>
      <w:kinsoku w:val="0"/>
      <w:overflowPunct w:val="0"/>
      <w:spacing w:before="0" w:line="14" w:lineRule="auto"/>
      <w:ind w:left="0"/>
      <w:rPr>
        <w:rFonts w:hint="default"/>
        <w:sz w:val="20"/>
      </w:rPr>
    </w:pPr>
    <w:r>
      <w:rPr>
        <w:rFonts w:hint="default"/>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2"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46CF602">
                          <w:pPr>
                            <w:pStyle w:val="16"/>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13</w:t>
                          </w:r>
                          <w:r>
                            <w:rPr>
                              <w:rFonts w:ascii="宋体" w:hAnsi="宋体"/>
                              <w:sz w:val="28"/>
                            </w:rPr>
                            <w:fldChar w:fldCharType="end"/>
                          </w:r>
                          <w:r>
                            <w:rPr>
                              <w:rFonts w:ascii="宋体" w:hAnsi="宋体"/>
                              <w:sz w:val="24"/>
                            </w:rPr>
                            <w:t>　</w:t>
                          </w:r>
                          <w:r>
                            <w:rPr>
                              <w:rFonts w:ascii="宋体" w:hAnsi="宋体"/>
                              <w:sz w:val="28"/>
                            </w:rPr>
                            <w:t>—</w:t>
                          </w:r>
                        </w:p>
                      </w:txbxContent>
                    </wps:txbx>
                    <wps:bodyPr wrap="none" lIns="203200" tIns="0" rIns="203200" bIns="0" upright="1">
                      <a:spAutoFit/>
                    </wps:bodyPr>
                  </wps:wsp>
                </a:graphicData>
              </a:graphic>
            </wp:anchor>
          </w:drawing>
        </mc:Choice>
        <mc:Fallback>
          <w:pict>
            <v:shape id="文本框 18" o:spid="_x0000_s1026" o:spt="202" type="#_x0000_t202" style="position:absolute;left:0pt;margin-top:1pt;height:144pt;width:144pt;mso-position-horizontal:outside;mso-position-horizontal-relative:margin;mso-wrap-style:none;z-index:251662336;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qVKztYAAAAGAQAADwAAAAAAAAAB&#10;ACAAAAAiAAAAZHJzL2Rvd25yZXYueG1sUEsBAhQAFAAAAAgAh07iQIm3s67ZAQAArQMAAA4AAAAA&#10;AAAAAQAgAAAAJQEAAGRycy9lMm9Eb2MueG1sUEsFBgAAAAAGAAYAWQEAAHAFAAAAAA==&#10;">
              <v:fill on="f" focussize="0,0"/>
              <v:stroke on="f" weight="0.5pt"/>
              <v:imagedata o:title=""/>
              <o:lock v:ext="edit" aspectratio="f"/>
              <v:textbox inset="16pt,0mm,16pt,0mm" style="mso-fit-shape-to-text:t;">
                <w:txbxContent>
                  <w:p w14:paraId="746CF602">
                    <w:pPr>
                      <w:pStyle w:val="16"/>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13</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94D89">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3"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0E3DA08">
                          <w:pPr>
                            <w:pStyle w:val="16"/>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30</w:t>
                          </w:r>
                          <w:r>
                            <w:rPr>
                              <w:rFonts w:ascii="宋体" w:hAnsi="宋体"/>
                              <w:sz w:val="28"/>
                            </w:rPr>
                            <w:fldChar w:fldCharType="end"/>
                          </w:r>
                          <w:r>
                            <w:rPr>
                              <w:rFonts w:ascii="宋体" w:hAnsi="宋体"/>
                              <w:sz w:val="24"/>
                            </w:rPr>
                            <w:t>　</w:t>
                          </w:r>
                          <w:r>
                            <w:rPr>
                              <w:rFonts w:ascii="宋体" w:hAnsi="宋体"/>
                              <w:sz w:val="28"/>
                            </w:rPr>
                            <w:t>—</w:t>
                          </w:r>
                        </w:p>
                      </w:txbxContent>
                    </wps:txbx>
                    <wps:bodyPr wrap="none" lIns="203200" tIns="0" rIns="203200" bIns="0" upright="1">
                      <a:spAutoFit/>
                    </wps:bodyPr>
                  </wps:wsp>
                </a:graphicData>
              </a:graphic>
            </wp:anchor>
          </w:drawing>
        </mc:Choice>
        <mc:Fallback>
          <w:pict>
            <v:shape id="文本框 19" o:spid="_x0000_s1026" o:spt="202" type="#_x0000_t202" style="position:absolute;left:0pt;margin-top:1pt;height:144pt;width:144pt;mso-position-horizontal:outside;mso-position-horizontal-relative:margin;mso-wrap-style:none;z-index:251663360;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GpUrO1gAAAAYBAAAPAAAAAAAAAAEA&#10;IAAAACIAAABkcnMvZG93bnJldi54bWxQSwECFAAUAAAACACHTuJA6+diP9gBAACtAwAADgAAAAAA&#10;AAABACAAAAAlAQAAZHJzL2Uyb0RvYy54bWxQSwUGAAAAAAYABgBZAQAAbwUAAAAA&#10;">
              <v:fill on="f" focussize="0,0"/>
              <v:stroke on="f" weight="0.5pt"/>
              <v:imagedata o:title=""/>
              <o:lock v:ext="edit" aspectratio="f"/>
              <v:textbox inset="16pt,0mm,16pt,0mm" style="mso-fit-shape-to-text:t;">
                <w:txbxContent>
                  <w:p w14:paraId="10E3DA08">
                    <w:pPr>
                      <w:pStyle w:val="16"/>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30</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AAE04">
    <w:pPr>
      <w:spacing w:line="168" w:lineRule="auto"/>
      <w:ind w:left="4566"/>
      <w:rPr>
        <w:rFonts w:ascii="Calibri" w:hAnsi="Calibri" w:eastAsia="Calibri" w:cs="Calibri"/>
        <w:sz w:val="18"/>
        <w:szCs w:val="18"/>
      </w:rPr>
    </w:pPr>
    <w:r>
      <w:rPr>
        <w:rFonts w:ascii="Calibri" w:hAnsi="Calibri" w:eastAsia="Calibri" w:cs="Calibri"/>
        <w:spacing w:val="-5"/>
        <w:sz w:val="18"/>
        <w:szCs w:val="18"/>
      </w:rPr>
      <w:t>51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83DCB">
    <w:pPr>
      <w:pStyle w:val="12"/>
      <w:kinsoku w:val="0"/>
      <w:overflowPunct w:val="0"/>
      <w:spacing w:before="0" w:line="14" w:lineRule="auto"/>
      <w:ind w:left="0"/>
      <w:rPr>
        <w:rFonts w:hint="default"/>
        <w:sz w:val="20"/>
      </w:rPr>
    </w:pPr>
    <w:r>
      <w:rPr>
        <w:rFonts w:hint="default"/>
        <w:sz w:val="2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4"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BDA6432">
                          <w:pPr>
                            <w:pStyle w:val="16"/>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36</w:t>
                          </w:r>
                          <w:r>
                            <w:rPr>
                              <w:rFonts w:ascii="宋体" w:hAnsi="宋体"/>
                              <w:sz w:val="28"/>
                            </w:rPr>
                            <w:fldChar w:fldCharType="end"/>
                          </w:r>
                          <w:r>
                            <w:rPr>
                              <w:rFonts w:ascii="宋体" w:hAnsi="宋体"/>
                              <w:sz w:val="24"/>
                            </w:rPr>
                            <w:t>　</w:t>
                          </w:r>
                          <w:r>
                            <w:rPr>
                              <w:rFonts w:ascii="宋体" w:hAnsi="宋体"/>
                              <w:sz w:val="28"/>
                            </w:rPr>
                            <w:t>—</w:t>
                          </w:r>
                        </w:p>
                      </w:txbxContent>
                    </wps:txbx>
                    <wps:bodyPr wrap="none" lIns="203200" tIns="0" rIns="203200" bIns="0" upright="1">
                      <a:spAutoFit/>
                    </wps:bodyPr>
                  </wps:wsp>
                </a:graphicData>
              </a:graphic>
            </wp:anchor>
          </w:drawing>
        </mc:Choice>
        <mc:Fallback>
          <w:pict>
            <v:shape id="文本框 20" o:spid="_x0000_s1026" o:spt="202" type="#_x0000_t202" style="position:absolute;left:0pt;margin-top:1pt;height:144pt;width:144pt;mso-position-horizontal:outside;mso-position-horizontal-relative:margin;mso-wrap-style:none;z-index:25166438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GpUrO1gAAAAYBAAAPAAAAAAAAAAEA&#10;IAAAACIAAABkcnMvZG93bnJldi54bWxQSwECFAAUAAAACACHTuJAEuZ1rtgBAACtAwAADgAAAAAA&#10;AAABACAAAAAlAQAAZHJzL2Uyb0RvYy54bWxQSwUGAAAAAAYABgBZAQAAbwUAAAAA&#10;">
              <v:fill on="f" focussize="0,0"/>
              <v:stroke on="f" weight="0.5pt"/>
              <v:imagedata o:title=""/>
              <o:lock v:ext="edit" aspectratio="f"/>
              <v:textbox inset="16pt,0mm,16pt,0mm" style="mso-fit-shape-to-text:t;">
                <w:txbxContent>
                  <w:p w14:paraId="0BDA6432">
                    <w:pPr>
                      <w:pStyle w:val="16"/>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36</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8E3E8">
    <w:pPr>
      <w:pStyle w:val="12"/>
      <w:kinsoku w:val="0"/>
      <w:overflowPunct w:val="0"/>
      <w:spacing w:before="0" w:line="14" w:lineRule="auto"/>
      <w:ind w:left="0"/>
      <w:rPr>
        <w:rFonts w:hint="default"/>
        <w:sz w:val="20"/>
      </w:rPr>
    </w:pPr>
    <w:r>
      <w:rPr>
        <w:rFonts w:hint="default"/>
        <w:sz w:val="20"/>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6"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5BB0C58">
                          <w:pPr>
                            <w:pStyle w:val="16"/>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43</w:t>
                          </w:r>
                          <w:r>
                            <w:rPr>
                              <w:rFonts w:ascii="宋体" w:hAnsi="宋体"/>
                              <w:sz w:val="28"/>
                            </w:rPr>
                            <w:fldChar w:fldCharType="end"/>
                          </w:r>
                          <w:r>
                            <w:rPr>
                              <w:rFonts w:ascii="宋体" w:hAnsi="宋体"/>
                              <w:sz w:val="24"/>
                            </w:rPr>
                            <w:t>　</w:t>
                          </w:r>
                          <w:r>
                            <w:rPr>
                              <w:rFonts w:ascii="宋体" w:hAnsi="宋体"/>
                              <w:sz w:val="28"/>
                            </w:rPr>
                            <w:t>—</w:t>
                          </w:r>
                        </w:p>
                      </w:txbxContent>
                    </wps:txbx>
                    <wps:bodyPr wrap="none" lIns="203200" tIns="0" rIns="203200" bIns="0" upright="1">
                      <a:spAutoFit/>
                    </wps:bodyPr>
                  </wps:wsp>
                </a:graphicData>
              </a:graphic>
            </wp:anchor>
          </w:drawing>
        </mc:Choice>
        <mc:Fallback>
          <w:pict>
            <v:shape id="文本框 22" o:spid="_x0000_s1026" o:spt="202" type="#_x0000_t202" style="position:absolute;left:0pt;margin-top:1pt;height:144pt;width:144pt;mso-position-horizontal:outside;mso-position-horizontal-relative:margin;mso-wrap-style:none;z-index:251665408;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alSs7WAAAABgEAAA8AAAAAAAAAAQAg&#10;AAAAIgAAAGRycy9kb3ducmV2LnhtbFBLAQIUABQAAAAIAIdO4kCXQKZW1wEAAK0DAAAOAAAAAAAA&#10;AAEAIAAAACUBAABkcnMvZTJvRG9jLnhtbFBLBQYAAAAABgAGAFkBAABuBQAAAAA=&#10;">
              <v:fill on="f" focussize="0,0"/>
              <v:stroke on="f" weight="0.5pt"/>
              <v:imagedata o:title=""/>
              <o:lock v:ext="edit" aspectratio="f"/>
              <v:textbox inset="16pt,0mm,16pt,0mm" style="mso-fit-shape-to-text:t;">
                <w:txbxContent>
                  <w:p w14:paraId="75BB0C58">
                    <w:pPr>
                      <w:pStyle w:val="16"/>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43</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E9C51">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2CF93">
    <w:pPr>
      <w:pStyle w:val="17"/>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AA4C8">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4CAFC">
    <w:pPr>
      <w:pStyle w:val="17"/>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03B17">
    <w:pPr>
      <w:pStyle w:val="17"/>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634A3">
    <w:pPr>
      <w:pStyle w:val="17"/>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A33BC">
    <w:pPr>
      <w:pStyle w:val="17"/>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73611">
    <w:pPr>
      <w:pStyle w:val="17"/>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06067">
    <w:pPr>
      <w:pStyle w:val="12"/>
      <w:kinsoku w:val="0"/>
      <w:overflowPunct w:val="0"/>
      <w:spacing w:before="0" w:line="14" w:lineRule="auto"/>
      <w:ind w:left="0"/>
      <w:rPr>
        <w:rFonts w:hint="default"/>
        <w:sz w:val="20"/>
      </w:rPr>
    </w:pPr>
    <w:r>
      <w:rPr>
        <w:rFonts w:hint="default"/>
        <w:sz w:val="24"/>
      </w:rPr>
      <mc:AlternateContent>
        <mc:Choice Requires="wps">
          <w:drawing>
            <wp:anchor distT="0" distB="0" distL="114300" distR="114300" simplePos="0" relativeHeight="251660288" behindDoc="1" locked="0" layoutInCell="1" allowOverlap="1">
              <wp:simplePos x="0" y="0"/>
              <wp:positionH relativeFrom="page">
                <wp:posOffset>6179185</wp:posOffset>
              </wp:positionH>
              <wp:positionV relativeFrom="page">
                <wp:posOffset>546735</wp:posOffset>
              </wp:positionV>
              <wp:extent cx="482600" cy="139700"/>
              <wp:effectExtent l="0" t="0" r="0" b="0"/>
              <wp:wrapNone/>
              <wp:docPr id="25" name="文本框 45"/>
              <wp:cNvGraphicFramePr/>
              <a:graphic xmlns:a="http://schemas.openxmlformats.org/drawingml/2006/main">
                <a:graphicData uri="http://schemas.microsoft.com/office/word/2010/wordprocessingShape">
                  <wps:wsp>
                    <wps:cNvSpPr txBox="1"/>
                    <wps:spPr>
                      <a:xfrm>
                        <a:off x="0" y="0"/>
                        <a:ext cx="482600" cy="139700"/>
                      </a:xfrm>
                      <a:prstGeom prst="rect">
                        <a:avLst/>
                      </a:prstGeom>
                      <a:noFill/>
                      <a:ln>
                        <a:noFill/>
                      </a:ln>
                      <a:effectLst/>
                    </wps:spPr>
                    <wps:txbx>
                      <w:txbxContent>
                        <w:p w14:paraId="7784C549">
                          <w:pPr>
                            <w:pStyle w:val="12"/>
                            <w:kinsoku w:val="0"/>
                            <w:overflowPunct w:val="0"/>
                            <w:spacing w:before="0" w:line="200" w:lineRule="exact"/>
                            <w:ind w:left="20"/>
                            <w:rPr>
                              <w:rFonts w:hint="default"/>
                              <w:sz w:val="18"/>
                            </w:rPr>
                          </w:pPr>
                        </w:p>
                      </w:txbxContent>
                    </wps:txbx>
                    <wps:bodyPr vert="horz" wrap="square" lIns="0" tIns="0" rIns="0" bIns="0" upright="1"/>
                  </wps:wsp>
                </a:graphicData>
              </a:graphic>
            </wp:anchor>
          </w:drawing>
        </mc:Choice>
        <mc:Fallback>
          <w:pict>
            <v:shape id="文本框 45" o:spid="_x0000_s1026" o:spt="202" type="#_x0000_t202" style="position:absolute;left:0pt;margin-left:486.55pt;margin-top:43.05pt;height:11pt;width:38pt;mso-position-horizontal-relative:page;mso-position-vertical-relative:page;z-index:-251656192;mso-width-relative:page;mso-height-relative:page;" filled="f" stroked="f" coordsize="21600,21600" o:gfxdata="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DhA112AAAAAsBAAAPAAAAAAAAAAEAIAAA&#10;ACIAAABkcnMvZG93bnJldi54bWxQSwECFAAUAAAACACHTuJAOgVx59MBAACbAwAADgAAAAAAAAAB&#10;ACAAAAAnAQAAZHJzL2Uyb0RvYy54bWxQSwUGAAAAAAYABgBZAQAAbAUAAAAA&#10;">
              <v:fill on="f" focussize="0,0"/>
              <v:stroke on="f"/>
              <v:imagedata o:title=""/>
              <o:lock v:ext="edit" aspectratio="f"/>
              <v:textbox inset="0mm,0mm,0mm,0mm">
                <w:txbxContent>
                  <w:p w14:paraId="7784C549">
                    <w:pPr>
                      <w:pStyle w:val="12"/>
                      <w:kinsoku w:val="0"/>
                      <w:overflowPunct w:val="0"/>
                      <w:spacing w:before="0" w:line="200" w:lineRule="exact"/>
                      <w:ind w:left="20"/>
                      <w:rPr>
                        <w:rFonts w:hint="default"/>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9BAD4C"/>
    <w:multiLevelType w:val="singleLevel"/>
    <w:tmpl w:val="D09BAD4C"/>
    <w:lvl w:ilvl="0" w:tentative="0">
      <w:start w:val="1"/>
      <w:numFmt w:val="decimal"/>
      <w:suff w:val="nothing"/>
      <w:lvlText w:val="（%1）"/>
      <w:lvlJc w:val="left"/>
    </w:lvl>
  </w:abstractNum>
  <w:abstractNum w:abstractNumId="1">
    <w:nsid w:val="2581C06F"/>
    <w:multiLevelType w:val="singleLevel"/>
    <w:tmpl w:val="2581C06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doNotCompress"/>
  <w:doNotValidateAgainstSchema/>
  <w:doNotDemarcateInvalidXml/>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MDEyNjRlZGNmNjU2YTBhODM3ZjE5NmUyYWY2MTIifQ=="/>
  </w:docVars>
  <w:rsids>
    <w:rsidRoot w:val="00172A27"/>
    <w:rsid w:val="0004735B"/>
    <w:rsid w:val="000B2E27"/>
    <w:rsid w:val="00137CC3"/>
    <w:rsid w:val="00172A27"/>
    <w:rsid w:val="00210F1D"/>
    <w:rsid w:val="0028707A"/>
    <w:rsid w:val="002F79C7"/>
    <w:rsid w:val="003A7B9F"/>
    <w:rsid w:val="00407FB8"/>
    <w:rsid w:val="00441793"/>
    <w:rsid w:val="005B6219"/>
    <w:rsid w:val="005C08EF"/>
    <w:rsid w:val="006C07D9"/>
    <w:rsid w:val="007005E4"/>
    <w:rsid w:val="00825DB3"/>
    <w:rsid w:val="0085066C"/>
    <w:rsid w:val="0087067F"/>
    <w:rsid w:val="00877A0C"/>
    <w:rsid w:val="00892176"/>
    <w:rsid w:val="0094278B"/>
    <w:rsid w:val="00A87F74"/>
    <w:rsid w:val="00C829B9"/>
    <w:rsid w:val="00CB4132"/>
    <w:rsid w:val="00CE6F61"/>
    <w:rsid w:val="00D10927"/>
    <w:rsid w:val="00FA1BD5"/>
    <w:rsid w:val="00FA416F"/>
    <w:rsid w:val="013331E2"/>
    <w:rsid w:val="0172773C"/>
    <w:rsid w:val="01B54238"/>
    <w:rsid w:val="01EB6913"/>
    <w:rsid w:val="029E7BD8"/>
    <w:rsid w:val="03005F18"/>
    <w:rsid w:val="031456C0"/>
    <w:rsid w:val="03534993"/>
    <w:rsid w:val="035E100F"/>
    <w:rsid w:val="035F45DD"/>
    <w:rsid w:val="036D0F90"/>
    <w:rsid w:val="03781D4F"/>
    <w:rsid w:val="03B70175"/>
    <w:rsid w:val="03C17B39"/>
    <w:rsid w:val="03FA1C6E"/>
    <w:rsid w:val="04342387"/>
    <w:rsid w:val="04371792"/>
    <w:rsid w:val="044761A6"/>
    <w:rsid w:val="045C1073"/>
    <w:rsid w:val="04645C01"/>
    <w:rsid w:val="04691F39"/>
    <w:rsid w:val="04915D7C"/>
    <w:rsid w:val="050D1D59"/>
    <w:rsid w:val="055701E1"/>
    <w:rsid w:val="056C4025"/>
    <w:rsid w:val="05D618B1"/>
    <w:rsid w:val="05F75A93"/>
    <w:rsid w:val="06292CB6"/>
    <w:rsid w:val="066F73F4"/>
    <w:rsid w:val="06D0168D"/>
    <w:rsid w:val="07A948A0"/>
    <w:rsid w:val="08163EFD"/>
    <w:rsid w:val="084E61B7"/>
    <w:rsid w:val="08573506"/>
    <w:rsid w:val="08A35E62"/>
    <w:rsid w:val="08D35DA8"/>
    <w:rsid w:val="08F63229"/>
    <w:rsid w:val="092A15C6"/>
    <w:rsid w:val="09816BA0"/>
    <w:rsid w:val="098C4446"/>
    <w:rsid w:val="09E7351F"/>
    <w:rsid w:val="0A031C96"/>
    <w:rsid w:val="0A234B6D"/>
    <w:rsid w:val="0A4A436C"/>
    <w:rsid w:val="0A5064C7"/>
    <w:rsid w:val="0A6D7E9E"/>
    <w:rsid w:val="0ABA4FD9"/>
    <w:rsid w:val="0ADC49DE"/>
    <w:rsid w:val="0B1B3A49"/>
    <w:rsid w:val="0B25756B"/>
    <w:rsid w:val="0B280169"/>
    <w:rsid w:val="0B32480C"/>
    <w:rsid w:val="0B824170"/>
    <w:rsid w:val="0BED503D"/>
    <w:rsid w:val="0C58341C"/>
    <w:rsid w:val="0C826A7F"/>
    <w:rsid w:val="0CCA3D3B"/>
    <w:rsid w:val="0D193066"/>
    <w:rsid w:val="0D402679"/>
    <w:rsid w:val="0D4B7AA3"/>
    <w:rsid w:val="0DC62C80"/>
    <w:rsid w:val="0DD052FE"/>
    <w:rsid w:val="0DDE6439"/>
    <w:rsid w:val="0E9C279A"/>
    <w:rsid w:val="0EAC4EAF"/>
    <w:rsid w:val="0EBC153A"/>
    <w:rsid w:val="0F4808F2"/>
    <w:rsid w:val="0FB87AA7"/>
    <w:rsid w:val="100E73A5"/>
    <w:rsid w:val="10550AA7"/>
    <w:rsid w:val="109A56FD"/>
    <w:rsid w:val="10CD11E8"/>
    <w:rsid w:val="111B6DBA"/>
    <w:rsid w:val="111F4C22"/>
    <w:rsid w:val="11827369"/>
    <w:rsid w:val="11A75C25"/>
    <w:rsid w:val="11DA74A7"/>
    <w:rsid w:val="11E3705D"/>
    <w:rsid w:val="11F1765A"/>
    <w:rsid w:val="121A10E0"/>
    <w:rsid w:val="12205EFF"/>
    <w:rsid w:val="122463E1"/>
    <w:rsid w:val="123A0C48"/>
    <w:rsid w:val="123A1BBD"/>
    <w:rsid w:val="12751CF7"/>
    <w:rsid w:val="128403E2"/>
    <w:rsid w:val="12861CC7"/>
    <w:rsid w:val="128A59FB"/>
    <w:rsid w:val="129721DE"/>
    <w:rsid w:val="129A7FD4"/>
    <w:rsid w:val="12DB39EC"/>
    <w:rsid w:val="12F6058F"/>
    <w:rsid w:val="134837C5"/>
    <w:rsid w:val="13B26271"/>
    <w:rsid w:val="13D97B20"/>
    <w:rsid w:val="144C736A"/>
    <w:rsid w:val="148F29B6"/>
    <w:rsid w:val="14FB2D68"/>
    <w:rsid w:val="153A45D8"/>
    <w:rsid w:val="155544FB"/>
    <w:rsid w:val="163527E9"/>
    <w:rsid w:val="164965DB"/>
    <w:rsid w:val="167E20A5"/>
    <w:rsid w:val="16E23F8F"/>
    <w:rsid w:val="16F83F09"/>
    <w:rsid w:val="173453E4"/>
    <w:rsid w:val="175A611D"/>
    <w:rsid w:val="1792229D"/>
    <w:rsid w:val="17BB294D"/>
    <w:rsid w:val="17C11C16"/>
    <w:rsid w:val="17C4765E"/>
    <w:rsid w:val="17C92852"/>
    <w:rsid w:val="17FB0290"/>
    <w:rsid w:val="180C6FF8"/>
    <w:rsid w:val="18316B67"/>
    <w:rsid w:val="18510D4C"/>
    <w:rsid w:val="18683B10"/>
    <w:rsid w:val="18821EC3"/>
    <w:rsid w:val="18BA06BD"/>
    <w:rsid w:val="18E92A80"/>
    <w:rsid w:val="195D2FB1"/>
    <w:rsid w:val="19D67D7D"/>
    <w:rsid w:val="19E17FBA"/>
    <w:rsid w:val="1A1E3881"/>
    <w:rsid w:val="1A4073EF"/>
    <w:rsid w:val="1A6C5716"/>
    <w:rsid w:val="1A712739"/>
    <w:rsid w:val="1AA708E9"/>
    <w:rsid w:val="1AF84B4D"/>
    <w:rsid w:val="1B2959C1"/>
    <w:rsid w:val="1B4E4D97"/>
    <w:rsid w:val="1BB61023"/>
    <w:rsid w:val="1BEB24A1"/>
    <w:rsid w:val="1C2A3ADB"/>
    <w:rsid w:val="1C9916C7"/>
    <w:rsid w:val="1CAC7254"/>
    <w:rsid w:val="1CC84477"/>
    <w:rsid w:val="1CDA7C66"/>
    <w:rsid w:val="1CDE4672"/>
    <w:rsid w:val="1D5537C5"/>
    <w:rsid w:val="1DB23DB9"/>
    <w:rsid w:val="1DED7C92"/>
    <w:rsid w:val="1E3E655B"/>
    <w:rsid w:val="1E951A36"/>
    <w:rsid w:val="1EBC13E7"/>
    <w:rsid w:val="1EF736F4"/>
    <w:rsid w:val="1EF97799"/>
    <w:rsid w:val="1F1C26C1"/>
    <w:rsid w:val="1F50568F"/>
    <w:rsid w:val="1FB9730F"/>
    <w:rsid w:val="1FD47103"/>
    <w:rsid w:val="1FF13375"/>
    <w:rsid w:val="20194D3D"/>
    <w:rsid w:val="20605A8A"/>
    <w:rsid w:val="20740924"/>
    <w:rsid w:val="20825DF9"/>
    <w:rsid w:val="208D56C7"/>
    <w:rsid w:val="20F96274"/>
    <w:rsid w:val="20FA46F8"/>
    <w:rsid w:val="210745A3"/>
    <w:rsid w:val="2127199F"/>
    <w:rsid w:val="212F0A57"/>
    <w:rsid w:val="215866BC"/>
    <w:rsid w:val="21631F3C"/>
    <w:rsid w:val="2192356F"/>
    <w:rsid w:val="21C356A2"/>
    <w:rsid w:val="2234772D"/>
    <w:rsid w:val="22554AEA"/>
    <w:rsid w:val="226E45D2"/>
    <w:rsid w:val="22712D89"/>
    <w:rsid w:val="22F11655"/>
    <w:rsid w:val="23576C73"/>
    <w:rsid w:val="236725E1"/>
    <w:rsid w:val="238372CF"/>
    <w:rsid w:val="23C31594"/>
    <w:rsid w:val="23F9715F"/>
    <w:rsid w:val="240B708B"/>
    <w:rsid w:val="24333A47"/>
    <w:rsid w:val="243D58C9"/>
    <w:rsid w:val="24752E41"/>
    <w:rsid w:val="251A6CE6"/>
    <w:rsid w:val="25450DF6"/>
    <w:rsid w:val="254A1703"/>
    <w:rsid w:val="254C08CD"/>
    <w:rsid w:val="257159DA"/>
    <w:rsid w:val="259725F1"/>
    <w:rsid w:val="25F02863"/>
    <w:rsid w:val="260B7DA6"/>
    <w:rsid w:val="26203D0D"/>
    <w:rsid w:val="26595527"/>
    <w:rsid w:val="26930D8A"/>
    <w:rsid w:val="26997F4A"/>
    <w:rsid w:val="26E55ACF"/>
    <w:rsid w:val="26EE48A1"/>
    <w:rsid w:val="274734A8"/>
    <w:rsid w:val="27B2715B"/>
    <w:rsid w:val="27CA6DE8"/>
    <w:rsid w:val="27DA7714"/>
    <w:rsid w:val="28235CC3"/>
    <w:rsid w:val="282E6072"/>
    <w:rsid w:val="2836518A"/>
    <w:rsid w:val="283C2465"/>
    <w:rsid w:val="28400EF0"/>
    <w:rsid w:val="28495EF5"/>
    <w:rsid w:val="288E445C"/>
    <w:rsid w:val="28D50E5F"/>
    <w:rsid w:val="29137907"/>
    <w:rsid w:val="298F1344"/>
    <w:rsid w:val="29B93060"/>
    <w:rsid w:val="2A0F355B"/>
    <w:rsid w:val="2A541F81"/>
    <w:rsid w:val="2A6A6EF5"/>
    <w:rsid w:val="2ABA62AC"/>
    <w:rsid w:val="2B49669C"/>
    <w:rsid w:val="2BC41B2B"/>
    <w:rsid w:val="2BE60F75"/>
    <w:rsid w:val="2C23143A"/>
    <w:rsid w:val="2C915203"/>
    <w:rsid w:val="2CA418AB"/>
    <w:rsid w:val="2CCB217A"/>
    <w:rsid w:val="2CE60E52"/>
    <w:rsid w:val="2CED46A5"/>
    <w:rsid w:val="2D19138E"/>
    <w:rsid w:val="2D9127E4"/>
    <w:rsid w:val="2D9F7177"/>
    <w:rsid w:val="2DA37504"/>
    <w:rsid w:val="2DF10B26"/>
    <w:rsid w:val="2DF45CB6"/>
    <w:rsid w:val="2E334E08"/>
    <w:rsid w:val="2E4F4758"/>
    <w:rsid w:val="2E536341"/>
    <w:rsid w:val="2E7C1897"/>
    <w:rsid w:val="2EF93D37"/>
    <w:rsid w:val="2F3F3124"/>
    <w:rsid w:val="2F432E2F"/>
    <w:rsid w:val="2F8A246F"/>
    <w:rsid w:val="2F9D6339"/>
    <w:rsid w:val="2FBD39BA"/>
    <w:rsid w:val="2FDD2717"/>
    <w:rsid w:val="302D5F7D"/>
    <w:rsid w:val="30335DFC"/>
    <w:rsid w:val="304F7EB9"/>
    <w:rsid w:val="30A0653B"/>
    <w:rsid w:val="310054E7"/>
    <w:rsid w:val="313B565F"/>
    <w:rsid w:val="316561FD"/>
    <w:rsid w:val="31C615FA"/>
    <w:rsid w:val="31DA35C7"/>
    <w:rsid w:val="31F222A6"/>
    <w:rsid w:val="3222192B"/>
    <w:rsid w:val="32504AB4"/>
    <w:rsid w:val="32537757"/>
    <w:rsid w:val="32D713D8"/>
    <w:rsid w:val="331F2C02"/>
    <w:rsid w:val="337470B7"/>
    <w:rsid w:val="33E2733A"/>
    <w:rsid w:val="34191818"/>
    <w:rsid w:val="3464513D"/>
    <w:rsid w:val="346A4F0B"/>
    <w:rsid w:val="3472550A"/>
    <w:rsid w:val="3490217F"/>
    <w:rsid w:val="34BF04FB"/>
    <w:rsid w:val="34DA386A"/>
    <w:rsid w:val="353066C0"/>
    <w:rsid w:val="35694BDA"/>
    <w:rsid w:val="35B113B3"/>
    <w:rsid w:val="35F07E2F"/>
    <w:rsid w:val="360F6910"/>
    <w:rsid w:val="362E3872"/>
    <w:rsid w:val="363E6B4A"/>
    <w:rsid w:val="365F70C2"/>
    <w:rsid w:val="36737F0A"/>
    <w:rsid w:val="36FE99DF"/>
    <w:rsid w:val="37E32136"/>
    <w:rsid w:val="3814440B"/>
    <w:rsid w:val="383B7DCD"/>
    <w:rsid w:val="38614E24"/>
    <w:rsid w:val="386214DD"/>
    <w:rsid w:val="389E6005"/>
    <w:rsid w:val="38A109B2"/>
    <w:rsid w:val="38BA1179"/>
    <w:rsid w:val="38CD37A4"/>
    <w:rsid w:val="39050DB8"/>
    <w:rsid w:val="39764437"/>
    <w:rsid w:val="3A215990"/>
    <w:rsid w:val="3A27501F"/>
    <w:rsid w:val="3A371C5D"/>
    <w:rsid w:val="3A396272"/>
    <w:rsid w:val="3A6137E8"/>
    <w:rsid w:val="3A6A46FF"/>
    <w:rsid w:val="3ACC1F95"/>
    <w:rsid w:val="3AEA031A"/>
    <w:rsid w:val="3B155D89"/>
    <w:rsid w:val="3B4D5304"/>
    <w:rsid w:val="3B627A8B"/>
    <w:rsid w:val="3B7A2EA8"/>
    <w:rsid w:val="3B7E49EA"/>
    <w:rsid w:val="3BA0792E"/>
    <w:rsid w:val="3BB7162E"/>
    <w:rsid w:val="3BC046F0"/>
    <w:rsid w:val="3C0A2CF2"/>
    <w:rsid w:val="3C300B85"/>
    <w:rsid w:val="3C3D57DB"/>
    <w:rsid w:val="3C41645F"/>
    <w:rsid w:val="3C856B6C"/>
    <w:rsid w:val="3CD307C2"/>
    <w:rsid w:val="3CD3456C"/>
    <w:rsid w:val="3D96430B"/>
    <w:rsid w:val="3DAA08B1"/>
    <w:rsid w:val="3DD72BC0"/>
    <w:rsid w:val="3DEA095A"/>
    <w:rsid w:val="3DF5030C"/>
    <w:rsid w:val="3E36058C"/>
    <w:rsid w:val="3E5025F3"/>
    <w:rsid w:val="3E901E1A"/>
    <w:rsid w:val="3EB061AD"/>
    <w:rsid w:val="3EBC03F6"/>
    <w:rsid w:val="3EF15B8C"/>
    <w:rsid w:val="3F1528D7"/>
    <w:rsid w:val="3F164EBE"/>
    <w:rsid w:val="3F4C251D"/>
    <w:rsid w:val="3F60757E"/>
    <w:rsid w:val="3F890AFB"/>
    <w:rsid w:val="3F8A5610"/>
    <w:rsid w:val="3FE63C4F"/>
    <w:rsid w:val="3FEA30E3"/>
    <w:rsid w:val="3FF07CA5"/>
    <w:rsid w:val="40172A41"/>
    <w:rsid w:val="40255D1F"/>
    <w:rsid w:val="405E7573"/>
    <w:rsid w:val="409863B3"/>
    <w:rsid w:val="40BA2276"/>
    <w:rsid w:val="40DD2C78"/>
    <w:rsid w:val="40FC307E"/>
    <w:rsid w:val="41310EB6"/>
    <w:rsid w:val="414114B3"/>
    <w:rsid w:val="415863DD"/>
    <w:rsid w:val="416006FA"/>
    <w:rsid w:val="41634637"/>
    <w:rsid w:val="41894F5F"/>
    <w:rsid w:val="418B30F2"/>
    <w:rsid w:val="418E2292"/>
    <w:rsid w:val="41992E8B"/>
    <w:rsid w:val="419F64EC"/>
    <w:rsid w:val="41C62770"/>
    <w:rsid w:val="41E423EA"/>
    <w:rsid w:val="41EC2ECE"/>
    <w:rsid w:val="42350E2C"/>
    <w:rsid w:val="423B25D7"/>
    <w:rsid w:val="42AC6394"/>
    <w:rsid w:val="42EA4A95"/>
    <w:rsid w:val="42F630E5"/>
    <w:rsid w:val="4301534E"/>
    <w:rsid w:val="432B1D63"/>
    <w:rsid w:val="433C62C5"/>
    <w:rsid w:val="43671FE0"/>
    <w:rsid w:val="44302F3E"/>
    <w:rsid w:val="450B623C"/>
    <w:rsid w:val="451E58C2"/>
    <w:rsid w:val="451F7B21"/>
    <w:rsid w:val="453E1D3D"/>
    <w:rsid w:val="454A25E6"/>
    <w:rsid w:val="45532DA5"/>
    <w:rsid w:val="457D3AFB"/>
    <w:rsid w:val="45872AB6"/>
    <w:rsid w:val="45C903C6"/>
    <w:rsid w:val="45CD7702"/>
    <w:rsid w:val="45CF34F0"/>
    <w:rsid w:val="466827D8"/>
    <w:rsid w:val="46910067"/>
    <w:rsid w:val="469B3A7E"/>
    <w:rsid w:val="46A8380E"/>
    <w:rsid w:val="46BF4C9C"/>
    <w:rsid w:val="471A32EC"/>
    <w:rsid w:val="474B318F"/>
    <w:rsid w:val="47565AAB"/>
    <w:rsid w:val="4759644A"/>
    <w:rsid w:val="47A119F9"/>
    <w:rsid w:val="47BB09DB"/>
    <w:rsid w:val="47E206B8"/>
    <w:rsid w:val="47EF5B62"/>
    <w:rsid w:val="481211C2"/>
    <w:rsid w:val="48197241"/>
    <w:rsid w:val="48296A7F"/>
    <w:rsid w:val="487C29F0"/>
    <w:rsid w:val="48A41894"/>
    <w:rsid w:val="48AE74CA"/>
    <w:rsid w:val="48B35CCB"/>
    <w:rsid w:val="48BF7C66"/>
    <w:rsid w:val="492E24C9"/>
    <w:rsid w:val="49380D36"/>
    <w:rsid w:val="493B7978"/>
    <w:rsid w:val="493C4382"/>
    <w:rsid w:val="49686FCD"/>
    <w:rsid w:val="4976743F"/>
    <w:rsid w:val="49855FD9"/>
    <w:rsid w:val="49932137"/>
    <w:rsid w:val="4A4A72C7"/>
    <w:rsid w:val="4A636363"/>
    <w:rsid w:val="4AA01C13"/>
    <w:rsid w:val="4AA72BD4"/>
    <w:rsid w:val="4B07065D"/>
    <w:rsid w:val="4B0A1845"/>
    <w:rsid w:val="4B181173"/>
    <w:rsid w:val="4B192236"/>
    <w:rsid w:val="4B370495"/>
    <w:rsid w:val="4B434B5D"/>
    <w:rsid w:val="4B74778B"/>
    <w:rsid w:val="4C580994"/>
    <w:rsid w:val="4C7D6299"/>
    <w:rsid w:val="4CAC16ED"/>
    <w:rsid w:val="4D0B4C6C"/>
    <w:rsid w:val="4D7E725E"/>
    <w:rsid w:val="4D866852"/>
    <w:rsid w:val="4D935223"/>
    <w:rsid w:val="4DA23655"/>
    <w:rsid w:val="4E104A93"/>
    <w:rsid w:val="4E21401E"/>
    <w:rsid w:val="4E5C54C6"/>
    <w:rsid w:val="4E6162CB"/>
    <w:rsid w:val="4E9117C6"/>
    <w:rsid w:val="4E915105"/>
    <w:rsid w:val="4EA863A8"/>
    <w:rsid w:val="4EB66256"/>
    <w:rsid w:val="4ED27987"/>
    <w:rsid w:val="4F4E4722"/>
    <w:rsid w:val="4F570490"/>
    <w:rsid w:val="4FA14B86"/>
    <w:rsid w:val="501F6DD0"/>
    <w:rsid w:val="502944C8"/>
    <w:rsid w:val="502D747A"/>
    <w:rsid w:val="508164AE"/>
    <w:rsid w:val="50872EBC"/>
    <w:rsid w:val="50C71A97"/>
    <w:rsid w:val="50C9046D"/>
    <w:rsid w:val="50F55120"/>
    <w:rsid w:val="51405AD6"/>
    <w:rsid w:val="514C71FC"/>
    <w:rsid w:val="51F42026"/>
    <w:rsid w:val="52330C4D"/>
    <w:rsid w:val="5252270A"/>
    <w:rsid w:val="52924F8A"/>
    <w:rsid w:val="53AE15D6"/>
    <w:rsid w:val="544E6F61"/>
    <w:rsid w:val="54664344"/>
    <w:rsid w:val="54867B03"/>
    <w:rsid w:val="54F5340F"/>
    <w:rsid w:val="55375357"/>
    <w:rsid w:val="55AC59F6"/>
    <w:rsid w:val="55AD24CD"/>
    <w:rsid w:val="55BE42ED"/>
    <w:rsid w:val="55D911AB"/>
    <w:rsid w:val="55E00555"/>
    <w:rsid w:val="55ED3D3D"/>
    <w:rsid w:val="56095227"/>
    <w:rsid w:val="566300C0"/>
    <w:rsid w:val="569E2447"/>
    <w:rsid w:val="56D73869"/>
    <w:rsid w:val="56FD151F"/>
    <w:rsid w:val="57024E30"/>
    <w:rsid w:val="574D6185"/>
    <w:rsid w:val="57675ACF"/>
    <w:rsid w:val="57716289"/>
    <w:rsid w:val="57833AC4"/>
    <w:rsid w:val="57963467"/>
    <w:rsid w:val="57E2637B"/>
    <w:rsid w:val="585E2F81"/>
    <w:rsid w:val="58C66164"/>
    <w:rsid w:val="58F641BB"/>
    <w:rsid w:val="59A31B62"/>
    <w:rsid w:val="59C9172F"/>
    <w:rsid w:val="59CA78FA"/>
    <w:rsid w:val="59CE6C72"/>
    <w:rsid w:val="5A0E6D9F"/>
    <w:rsid w:val="5A43248C"/>
    <w:rsid w:val="5A6C2B63"/>
    <w:rsid w:val="5A741C1E"/>
    <w:rsid w:val="5A932A3B"/>
    <w:rsid w:val="5AAB2599"/>
    <w:rsid w:val="5AEB0CC0"/>
    <w:rsid w:val="5B392599"/>
    <w:rsid w:val="5BB6533D"/>
    <w:rsid w:val="5BF927DD"/>
    <w:rsid w:val="5BFF0C89"/>
    <w:rsid w:val="5C267342"/>
    <w:rsid w:val="5C4B4059"/>
    <w:rsid w:val="5C4E3A01"/>
    <w:rsid w:val="5C78555F"/>
    <w:rsid w:val="5CB62D44"/>
    <w:rsid w:val="5CBF1691"/>
    <w:rsid w:val="5CCC7857"/>
    <w:rsid w:val="5CEC3A6E"/>
    <w:rsid w:val="5D223936"/>
    <w:rsid w:val="5D293CB5"/>
    <w:rsid w:val="5D4E1A2F"/>
    <w:rsid w:val="5D5D7593"/>
    <w:rsid w:val="5D9427D0"/>
    <w:rsid w:val="5DAA556A"/>
    <w:rsid w:val="5E452B59"/>
    <w:rsid w:val="5ED508CA"/>
    <w:rsid w:val="5EDC2102"/>
    <w:rsid w:val="5F34291D"/>
    <w:rsid w:val="5F65732E"/>
    <w:rsid w:val="5F691DC7"/>
    <w:rsid w:val="5FB9018D"/>
    <w:rsid w:val="5FF23595"/>
    <w:rsid w:val="601A21E6"/>
    <w:rsid w:val="6032054F"/>
    <w:rsid w:val="603E5966"/>
    <w:rsid w:val="606B4781"/>
    <w:rsid w:val="60B7741C"/>
    <w:rsid w:val="60BB08B2"/>
    <w:rsid w:val="60DE40EA"/>
    <w:rsid w:val="611D2B92"/>
    <w:rsid w:val="61336EB1"/>
    <w:rsid w:val="6144455C"/>
    <w:rsid w:val="617F5604"/>
    <w:rsid w:val="618E568D"/>
    <w:rsid w:val="61A774DA"/>
    <w:rsid w:val="61BB7BB2"/>
    <w:rsid w:val="61FD46FA"/>
    <w:rsid w:val="62152274"/>
    <w:rsid w:val="621C5283"/>
    <w:rsid w:val="62236C8C"/>
    <w:rsid w:val="6228346A"/>
    <w:rsid w:val="62740BD9"/>
    <w:rsid w:val="62976179"/>
    <w:rsid w:val="6299448A"/>
    <w:rsid w:val="629C2055"/>
    <w:rsid w:val="62CD69EB"/>
    <w:rsid w:val="62D51C2D"/>
    <w:rsid w:val="62DD1469"/>
    <w:rsid w:val="63224966"/>
    <w:rsid w:val="632450B9"/>
    <w:rsid w:val="63307880"/>
    <w:rsid w:val="639D2713"/>
    <w:rsid w:val="63B53CE1"/>
    <w:rsid w:val="63DF0E30"/>
    <w:rsid w:val="63F25419"/>
    <w:rsid w:val="64416F8A"/>
    <w:rsid w:val="648903B7"/>
    <w:rsid w:val="64BA7671"/>
    <w:rsid w:val="64BE6E05"/>
    <w:rsid w:val="64F5129A"/>
    <w:rsid w:val="650225AD"/>
    <w:rsid w:val="651B49DC"/>
    <w:rsid w:val="652438DC"/>
    <w:rsid w:val="652567BE"/>
    <w:rsid w:val="656C0E0E"/>
    <w:rsid w:val="657769A7"/>
    <w:rsid w:val="6587477F"/>
    <w:rsid w:val="659D2171"/>
    <w:rsid w:val="65A30D24"/>
    <w:rsid w:val="65EE71A7"/>
    <w:rsid w:val="662F21EE"/>
    <w:rsid w:val="66D23574"/>
    <w:rsid w:val="66D461CA"/>
    <w:rsid w:val="673C000B"/>
    <w:rsid w:val="676D737D"/>
    <w:rsid w:val="67933593"/>
    <w:rsid w:val="687D3800"/>
    <w:rsid w:val="689425B1"/>
    <w:rsid w:val="690F0E82"/>
    <w:rsid w:val="69217B09"/>
    <w:rsid w:val="692C26A7"/>
    <w:rsid w:val="69551454"/>
    <w:rsid w:val="695D776E"/>
    <w:rsid w:val="69975B70"/>
    <w:rsid w:val="69C93AC3"/>
    <w:rsid w:val="69F42063"/>
    <w:rsid w:val="6A057850"/>
    <w:rsid w:val="6A5309D1"/>
    <w:rsid w:val="6A7553E2"/>
    <w:rsid w:val="6A9A753B"/>
    <w:rsid w:val="6AA04086"/>
    <w:rsid w:val="6AC54E9C"/>
    <w:rsid w:val="6AD0578E"/>
    <w:rsid w:val="6B4B0909"/>
    <w:rsid w:val="6B4E61B7"/>
    <w:rsid w:val="6B7439F8"/>
    <w:rsid w:val="6B7875A5"/>
    <w:rsid w:val="6BA257A1"/>
    <w:rsid w:val="6BCA36C0"/>
    <w:rsid w:val="6C277AF5"/>
    <w:rsid w:val="6C4E2A95"/>
    <w:rsid w:val="6C99465F"/>
    <w:rsid w:val="6C9E1F55"/>
    <w:rsid w:val="6CA7595B"/>
    <w:rsid w:val="6CCC6ED4"/>
    <w:rsid w:val="6CD17899"/>
    <w:rsid w:val="6CE33C9D"/>
    <w:rsid w:val="6D08707E"/>
    <w:rsid w:val="6D250D58"/>
    <w:rsid w:val="6D4B498E"/>
    <w:rsid w:val="6DB86EEB"/>
    <w:rsid w:val="6DC0273F"/>
    <w:rsid w:val="6E277122"/>
    <w:rsid w:val="6E4241C3"/>
    <w:rsid w:val="6E6C1DE2"/>
    <w:rsid w:val="6EC72B5C"/>
    <w:rsid w:val="6F0600A7"/>
    <w:rsid w:val="6F1E1317"/>
    <w:rsid w:val="6F63005F"/>
    <w:rsid w:val="6FE3114C"/>
    <w:rsid w:val="6FFC11E0"/>
    <w:rsid w:val="7030492A"/>
    <w:rsid w:val="70557293"/>
    <w:rsid w:val="7057105E"/>
    <w:rsid w:val="70E707C8"/>
    <w:rsid w:val="717007BD"/>
    <w:rsid w:val="71943745"/>
    <w:rsid w:val="7264184B"/>
    <w:rsid w:val="727C0C29"/>
    <w:rsid w:val="72945F4B"/>
    <w:rsid w:val="734E2D80"/>
    <w:rsid w:val="73610B16"/>
    <w:rsid w:val="736424E0"/>
    <w:rsid w:val="738F5EF6"/>
    <w:rsid w:val="739D3BB3"/>
    <w:rsid w:val="73A0744F"/>
    <w:rsid w:val="73E5051E"/>
    <w:rsid w:val="73F65662"/>
    <w:rsid w:val="7448180C"/>
    <w:rsid w:val="744A28A4"/>
    <w:rsid w:val="745060AA"/>
    <w:rsid w:val="74585F1D"/>
    <w:rsid w:val="7468792E"/>
    <w:rsid w:val="74790F0D"/>
    <w:rsid w:val="74834D54"/>
    <w:rsid w:val="74963226"/>
    <w:rsid w:val="74F03260"/>
    <w:rsid w:val="75721FC2"/>
    <w:rsid w:val="75997A60"/>
    <w:rsid w:val="759A42DF"/>
    <w:rsid w:val="75BA2957"/>
    <w:rsid w:val="75C15A74"/>
    <w:rsid w:val="75E45776"/>
    <w:rsid w:val="7603608E"/>
    <w:rsid w:val="763109A2"/>
    <w:rsid w:val="7683582E"/>
    <w:rsid w:val="7694325B"/>
    <w:rsid w:val="76D1331E"/>
    <w:rsid w:val="77111C90"/>
    <w:rsid w:val="77134142"/>
    <w:rsid w:val="774D699A"/>
    <w:rsid w:val="77904858"/>
    <w:rsid w:val="77FF9E8D"/>
    <w:rsid w:val="78A864B7"/>
    <w:rsid w:val="78B0545A"/>
    <w:rsid w:val="78C06CB4"/>
    <w:rsid w:val="78FF500E"/>
    <w:rsid w:val="793833C8"/>
    <w:rsid w:val="79421FF2"/>
    <w:rsid w:val="79867408"/>
    <w:rsid w:val="7A884DCA"/>
    <w:rsid w:val="7AAC1686"/>
    <w:rsid w:val="7ABA0097"/>
    <w:rsid w:val="7ACE7744"/>
    <w:rsid w:val="7B1C600A"/>
    <w:rsid w:val="7B756D60"/>
    <w:rsid w:val="7BB56A16"/>
    <w:rsid w:val="7BE44C99"/>
    <w:rsid w:val="7BED07C9"/>
    <w:rsid w:val="7BF0665B"/>
    <w:rsid w:val="7C283F10"/>
    <w:rsid w:val="7C663E0C"/>
    <w:rsid w:val="7CB22417"/>
    <w:rsid w:val="7CC6074C"/>
    <w:rsid w:val="7CCB2AA9"/>
    <w:rsid w:val="7D0C3E46"/>
    <w:rsid w:val="7D901155"/>
    <w:rsid w:val="7DA70826"/>
    <w:rsid w:val="7DCF78F8"/>
    <w:rsid w:val="7E20301E"/>
    <w:rsid w:val="7E2868F8"/>
    <w:rsid w:val="7E4E0F17"/>
    <w:rsid w:val="7EAF8AC7"/>
    <w:rsid w:val="7ECB7024"/>
    <w:rsid w:val="7EFD3817"/>
    <w:rsid w:val="7F064D56"/>
    <w:rsid w:val="7F1046F3"/>
    <w:rsid w:val="7F17113E"/>
    <w:rsid w:val="7F7F02A4"/>
    <w:rsid w:val="7FA84865"/>
    <w:rsid w:val="7FC40A0B"/>
    <w:rsid w:val="7FEB0894"/>
    <w:rsid w:val="7FFF3548"/>
    <w:rsid w:val="9F9F50D0"/>
    <w:rsid w:val="AFBF540F"/>
    <w:rsid w:val="BF7B35E6"/>
    <w:rsid w:val="BFFD9670"/>
    <w:rsid w:val="EDE75538"/>
    <w:rsid w:val="F2FF30E4"/>
    <w:rsid w:val="F56F9AFE"/>
    <w:rsid w:val="F5FFF40E"/>
    <w:rsid w:val="F7FFFC72"/>
    <w:rsid w:val="FBF32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iPriority="1" w:semiHidden="0" w:name="heading 7"/>
    <w:lsdException w:qFormat="1" w:uiPriority="1" w:semiHidden="0" w:name="heading 8"/>
    <w:lsdException w:qFormat="1" w:uiPriority="1"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iPriority="1"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nhideWhenUsed="0" w:uiPriority="0" w:semiHidden="0" w:name="Balloon Text"/>
    <w:lsdException w:qFormat="1" w:unhideWhenUsed="0" w:uiPriority="0"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ascii="Times New Roman" w:hAnsi="Times New Roman" w:eastAsia="宋体" w:cs="Times New Roman"/>
      <w:sz w:val="24"/>
      <w:lang w:val="en-US" w:eastAsia="zh-CN" w:bidi="ar-SA"/>
    </w:rPr>
  </w:style>
  <w:style w:type="paragraph" w:styleId="2">
    <w:name w:val="heading 1"/>
    <w:basedOn w:val="1"/>
    <w:next w:val="1"/>
    <w:unhideWhenUsed/>
    <w:qFormat/>
    <w:uiPriority w:val="1"/>
    <w:pPr>
      <w:spacing w:before="73"/>
      <w:ind w:left="362"/>
      <w:outlineLvl w:val="0"/>
    </w:pPr>
    <w:rPr>
      <w:rFonts w:hint="eastAsia" w:ascii="宋体" w:hAnsi="宋体"/>
      <w:b/>
      <w:sz w:val="72"/>
    </w:rPr>
  </w:style>
  <w:style w:type="paragraph" w:styleId="3">
    <w:name w:val="heading 2"/>
    <w:basedOn w:val="1"/>
    <w:next w:val="1"/>
    <w:link w:val="31"/>
    <w:unhideWhenUsed/>
    <w:qFormat/>
    <w:uiPriority w:val="1"/>
    <w:pPr>
      <w:ind w:left="2582"/>
      <w:outlineLvl w:val="1"/>
    </w:pPr>
    <w:rPr>
      <w:rFonts w:hint="eastAsia" w:ascii="宋体" w:hAnsi="宋体"/>
      <w:b/>
      <w:sz w:val="52"/>
    </w:rPr>
  </w:style>
  <w:style w:type="paragraph" w:styleId="4">
    <w:name w:val="heading 3"/>
    <w:basedOn w:val="1"/>
    <w:next w:val="1"/>
    <w:link w:val="28"/>
    <w:unhideWhenUsed/>
    <w:qFormat/>
    <w:uiPriority w:val="1"/>
    <w:pPr>
      <w:spacing w:before="305"/>
      <w:ind w:left="244"/>
      <w:outlineLvl w:val="2"/>
    </w:pPr>
    <w:rPr>
      <w:rFonts w:hint="eastAsia" w:ascii="宋体" w:hAnsi="宋体"/>
      <w:sz w:val="48"/>
    </w:rPr>
  </w:style>
  <w:style w:type="paragraph" w:styleId="5">
    <w:name w:val="heading 4"/>
    <w:basedOn w:val="1"/>
    <w:next w:val="1"/>
    <w:unhideWhenUsed/>
    <w:qFormat/>
    <w:uiPriority w:val="1"/>
    <w:pPr>
      <w:ind w:left="7"/>
      <w:outlineLvl w:val="3"/>
    </w:pPr>
    <w:rPr>
      <w:rFonts w:hint="eastAsia" w:ascii="宋体" w:hAnsi="宋体"/>
      <w:b/>
      <w:sz w:val="36"/>
    </w:rPr>
  </w:style>
  <w:style w:type="paragraph" w:styleId="6">
    <w:name w:val="heading 5"/>
    <w:basedOn w:val="1"/>
    <w:next w:val="1"/>
    <w:unhideWhenUsed/>
    <w:qFormat/>
    <w:uiPriority w:val="1"/>
    <w:pPr>
      <w:ind w:left="153"/>
      <w:outlineLvl w:val="4"/>
    </w:pPr>
    <w:rPr>
      <w:rFonts w:hint="eastAsia" w:ascii="宋体" w:hAnsi="宋体"/>
      <w:b/>
      <w:sz w:val="32"/>
    </w:rPr>
  </w:style>
  <w:style w:type="paragraph" w:styleId="7">
    <w:name w:val="heading 6"/>
    <w:basedOn w:val="1"/>
    <w:next w:val="1"/>
    <w:unhideWhenUsed/>
    <w:qFormat/>
    <w:uiPriority w:val="1"/>
    <w:pPr>
      <w:ind w:left="164"/>
      <w:outlineLvl w:val="5"/>
    </w:pPr>
    <w:rPr>
      <w:rFonts w:hint="eastAsia" w:ascii="黑体" w:hAnsi="黑体" w:eastAsia="黑体"/>
      <w:sz w:val="32"/>
    </w:rPr>
  </w:style>
  <w:style w:type="paragraph" w:styleId="8">
    <w:name w:val="heading 7"/>
    <w:basedOn w:val="1"/>
    <w:next w:val="1"/>
    <w:unhideWhenUsed/>
    <w:qFormat/>
    <w:uiPriority w:val="1"/>
    <w:pPr>
      <w:spacing w:before="7"/>
      <w:ind w:left="108"/>
      <w:outlineLvl w:val="6"/>
    </w:pPr>
    <w:rPr>
      <w:rFonts w:hint="eastAsia" w:ascii="宋体" w:hAnsi="宋体"/>
      <w:b/>
      <w:sz w:val="30"/>
    </w:rPr>
  </w:style>
  <w:style w:type="paragraph" w:styleId="9">
    <w:name w:val="heading 8"/>
    <w:basedOn w:val="1"/>
    <w:next w:val="1"/>
    <w:unhideWhenUsed/>
    <w:qFormat/>
    <w:uiPriority w:val="1"/>
    <w:pPr>
      <w:spacing w:before="14"/>
      <w:ind w:left="153"/>
      <w:outlineLvl w:val="7"/>
    </w:pPr>
    <w:rPr>
      <w:rFonts w:hint="eastAsia" w:ascii="黑体" w:hAnsi="黑体" w:eastAsia="黑体"/>
      <w:b/>
      <w:sz w:val="28"/>
    </w:rPr>
  </w:style>
  <w:style w:type="paragraph" w:styleId="10">
    <w:name w:val="heading 9"/>
    <w:basedOn w:val="1"/>
    <w:next w:val="1"/>
    <w:unhideWhenUsed/>
    <w:qFormat/>
    <w:uiPriority w:val="1"/>
    <w:pPr>
      <w:ind w:left="148"/>
      <w:outlineLvl w:val="8"/>
    </w:pPr>
    <w:rPr>
      <w:rFonts w:hint="eastAsia" w:ascii="宋体" w:hAnsi="宋体"/>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0"/>
    <w:qFormat/>
    <w:uiPriority w:val="99"/>
  </w:style>
  <w:style w:type="paragraph" w:styleId="12">
    <w:name w:val="Body Text"/>
    <w:basedOn w:val="1"/>
    <w:link w:val="41"/>
    <w:unhideWhenUsed/>
    <w:qFormat/>
    <w:uiPriority w:val="1"/>
    <w:pPr>
      <w:spacing w:before="133"/>
      <w:ind w:left="573"/>
    </w:pPr>
    <w:rPr>
      <w:rFonts w:hint="eastAsia" w:ascii="宋体" w:hAnsi="宋体"/>
      <w:sz w:val="21"/>
    </w:rPr>
  </w:style>
  <w:style w:type="paragraph" w:styleId="13">
    <w:name w:val="Body Text Indent"/>
    <w:basedOn w:val="1"/>
    <w:qFormat/>
    <w:uiPriority w:val="0"/>
    <w:pPr>
      <w:spacing w:line="580" w:lineRule="exact"/>
      <w:ind w:left="2" w:firstLine="720" w:firstLineChars="225"/>
    </w:pPr>
    <w:rPr>
      <w:rFonts w:eastAsia="仿宋_GB2312"/>
      <w:sz w:val="32"/>
    </w:rPr>
  </w:style>
  <w:style w:type="paragraph" w:styleId="14">
    <w:name w:val="Plain Text"/>
    <w:basedOn w:val="1"/>
    <w:qFormat/>
    <w:uiPriority w:val="0"/>
    <w:rPr>
      <w:rFonts w:ascii="宋体" w:hAnsi="Courier New" w:cs="Courier New"/>
      <w:szCs w:val="21"/>
    </w:rPr>
  </w:style>
  <w:style w:type="paragraph" w:styleId="15">
    <w:name w:val="Balloon Text"/>
    <w:basedOn w:val="1"/>
    <w:link w:val="42"/>
    <w:qFormat/>
    <w:uiPriority w:val="0"/>
    <w:pPr>
      <w:widowControl/>
      <w:kinsoku w:val="0"/>
      <w:snapToGrid w:val="0"/>
      <w:textAlignment w:val="baseline"/>
    </w:pPr>
    <w:rPr>
      <w:rFonts w:ascii="Arial" w:hAnsi="Arial" w:eastAsia="Arial" w:cs="Arial"/>
      <w:snapToGrid w:val="0"/>
      <w:color w:val="000000"/>
      <w:sz w:val="18"/>
      <w:szCs w:val="18"/>
      <w:lang w:eastAsia="en-US"/>
    </w:rPr>
  </w:style>
  <w:style w:type="paragraph" w:styleId="16">
    <w:name w:val="footer"/>
    <w:basedOn w:val="1"/>
    <w:qFormat/>
    <w:uiPriority w:val="99"/>
    <w:pPr>
      <w:tabs>
        <w:tab w:val="center" w:pos="4153"/>
        <w:tab w:val="right" w:pos="8306"/>
      </w:tabs>
      <w:snapToGrid w:val="0"/>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style>
  <w:style w:type="paragraph" w:styleId="19">
    <w:name w:val="toc 2"/>
    <w:basedOn w:val="1"/>
    <w:next w:val="1"/>
    <w:qFormat/>
    <w:uiPriority w:val="99"/>
    <w:pPr>
      <w:ind w:left="420" w:leftChars="200"/>
    </w:pPr>
  </w:style>
  <w:style w:type="paragraph" w:styleId="20">
    <w:name w:val="Body Text First Indent 2"/>
    <w:basedOn w:val="13"/>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Emphasis"/>
    <w:basedOn w:val="23"/>
    <w:qFormat/>
    <w:uiPriority w:val="99"/>
    <w:rPr>
      <w:i/>
    </w:rPr>
  </w:style>
  <w:style w:type="character" w:styleId="25">
    <w:name w:val="Hyperlink"/>
    <w:basedOn w:val="23"/>
    <w:qFormat/>
    <w:uiPriority w:val="99"/>
    <w:rPr>
      <w:color w:val="0000FF"/>
      <w:u w:val="single"/>
    </w:rPr>
  </w:style>
  <w:style w:type="paragraph" w:customStyle="1" w:styleId="26">
    <w:name w:val="Table Paragraph"/>
    <w:basedOn w:val="1"/>
    <w:unhideWhenUsed/>
    <w:qFormat/>
    <w:uiPriority w:val="1"/>
  </w:style>
  <w:style w:type="paragraph" w:customStyle="1" w:styleId="27">
    <w:name w:val="列出段落1"/>
    <w:basedOn w:val="1"/>
    <w:unhideWhenUsed/>
    <w:qFormat/>
    <w:uiPriority w:val="1"/>
  </w:style>
  <w:style w:type="character" w:customStyle="1" w:styleId="28">
    <w:name w:val="标题 3 Char"/>
    <w:link w:val="4"/>
    <w:qFormat/>
    <w:uiPriority w:val="1"/>
    <w:rPr>
      <w:rFonts w:hint="eastAsia" w:ascii="宋体" w:hAnsi="宋体" w:eastAsia="宋体"/>
      <w:sz w:val="48"/>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1">
    <w:name w:val="标题 2 Char"/>
    <w:link w:val="3"/>
    <w:qFormat/>
    <w:uiPriority w:val="1"/>
    <w:rPr>
      <w:rFonts w:hint="eastAsia" w:ascii="宋体" w:hAnsi="宋体" w:eastAsia="宋体"/>
      <w:b/>
      <w:sz w:val="52"/>
    </w:rPr>
  </w:style>
  <w:style w:type="character" w:customStyle="1" w:styleId="32">
    <w:name w:val="font01"/>
    <w:basedOn w:val="23"/>
    <w:qFormat/>
    <w:uiPriority w:val="0"/>
    <w:rPr>
      <w:rFonts w:ascii="Arial" w:hAnsi="Arial" w:cs="Arial"/>
      <w:color w:val="000000"/>
      <w:sz w:val="28"/>
      <w:szCs w:val="28"/>
      <w:u w:val="none"/>
    </w:rPr>
  </w:style>
  <w:style w:type="character" w:customStyle="1" w:styleId="33">
    <w:name w:val="font11"/>
    <w:basedOn w:val="23"/>
    <w:qFormat/>
    <w:uiPriority w:val="0"/>
    <w:rPr>
      <w:rFonts w:hint="eastAsia" w:ascii="宋体" w:hAnsi="宋体" w:eastAsia="宋体" w:cs="宋体"/>
      <w:color w:val="000000"/>
      <w:sz w:val="28"/>
      <w:szCs w:val="28"/>
      <w:u w:val="none"/>
    </w:rPr>
  </w:style>
  <w:style w:type="paragraph" w:customStyle="1" w:styleId="34">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character" w:customStyle="1" w:styleId="35">
    <w:name w:val="font21"/>
    <w:basedOn w:val="23"/>
    <w:qFormat/>
    <w:uiPriority w:val="0"/>
    <w:rPr>
      <w:rFonts w:hint="eastAsia" w:ascii="宋体" w:hAnsi="宋体" w:eastAsia="宋体" w:cs="宋体"/>
      <w:color w:val="000000"/>
      <w:sz w:val="21"/>
      <w:szCs w:val="21"/>
      <w:u w:val="none"/>
    </w:rPr>
  </w:style>
  <w:style w:type="paragraph" w:customStyle="1" w:styleId="36">
    <w:name w:val="Other|1"/>
    <w:basedOn w:val="1"/>
    <w:qFormat/>
    <w:uiPriority w:val="0"/>
    <w:pPr>
      <w:spacing w:line="469" w:lineRule="exact"/>
    </w:pPr>
    <w:rPr>
      <w:rFonts w:ascii="宋体" w:hAnsi="宋体" w:cs="宋体"/>
      <w:lang w:val="zh-TW" w:eastAsia="zh-TW" w:bidi="zh-TW"/>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31"/>
    <w:basedOn w:val="23"/>
    <w:qFormat/>
    <w:uiPriority w:val="0"/>
    <w:rPr>
      <w:rFonts w:hint="default" w:ascii="Times New Roman" w:hAnsi="Times New Roman" w:cs="Times New Roman"/>
      <w:color w:val="000000"/>
      <w:sz w:val="20"/>
      <w:szCs w:val="20"/>
      <w:u w:val="none"/>
    </w:rPr>
  </w:style>
  <w:style w:type="character" w:customStyle="1" w:styleId="39">
    <w:name w:val="font41"/>
    <w:basedOn w:val="23"/>
    <w:qFormat/>
    <w:uiPriority w:val="0"/>
    <w:rPr>
      <w:rFonts w:hint="default" w:ascii="Times New Roman" w:hAnsi="Times New Roman" w:cs="Times New Roman"/>
      <w:color w:val="000000"/>
      <w:sz w:val="20"/>
      <w:szCs w:val="20"/>
      <w:u w:val="none"/>
    </w:rPr>
  </w:style>
  <w:style w:type="character" w:customStyle="1" w:styleId="40">
    <w:name w:val="批注文字 Char"/>
    <w:basedOn w:val="23"/>
    <w:link w:val="11"/>
    <w:qFormat/>
    <w:uiPriority w:val="99"/>
    <w:rPr>
      <w:sz w:val="24"/>
    </w:rPr>
  </w:style>
  <w:style w:type="character" w:customStyle="1" w:styleId="41">
    <w:name w:val="正文文本 Char"/>
    <w:basedOn w:val="23"/>
    <w:link w:val="12"/>
    <w:qFormat/>
    <w:uiPriority w:val="1"/>
    <w:rPr>
      <w:rFonts w:ascii="宋体" w:hAnsi="宋体"/>
      <w:sz w:val="21"/>
    </w:rPr>
  </w:style>
  <w:style w:type="character" w:customStyle="1" w:styleId="42">
    <w:name w:val="批注框文本 Char"/>
    <w:basedOn w:val="23"/>
    <w:link w:val="15"/>
    <w:qFormat/>
    <w:uiPriority w:val="0"/>
    <w:rPr>
      <w:rFonts w:ascii="Arial" w:hAnsi="Arial" w:eastAsia="Arial" w:cs="Arial"/>
      <w:snapToGrid w:val="0"/>
      <w:color w:val="000000"/>
      <w:sz w:val="18"/>
      <w:szCs w:val="18"/>
      <w:lang w:eastAsia="en-US"/>
    </w:rPr>
  </w:style>
  <w:style w:type="paragraph" w:customStyle="1" w:styleId="43">
    <w:name w:val="Table Text"/>
    <w:basedOn w:val="1"/>
    <w:autoRedefine/>
    <w:semiHidden/>
    <w:qFormat/>
    <w:uiPriority w:val="0"/>
    <w:pPr>
      <w:widowControl/>
      <w:kinsoku w:val="0"/>
      <w:snapToGrid w:val="0"/>
      <w:textAlignment w:val="baseline"/>
    </w:pPr>
    <w:rPr>
      <w:rFonts w:ascii="宋体" w:hAnsi="宋体" w:cs="宋体"/>
      <w:snapToGrid w:val="0"/>
      <w:color w:val="000000"/>
      <w:sz w:val="20"/>
      <w:lang w:eastAsia="en-US"/>
    </w:rPr>
  </w:style>
  <w:style w:type="character" w:customStyle="1" w:styleId="44">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5.xml"/><Relationship Id="rId25" Type="http://schemas.openxmlformats.org/officeDocument/2006/relationships/header" Target="header9.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18707</Words>
  <Characters>20306</Characters>
  <Lines>222</Lines>
  <Paragraphs>62</Paragraphs>
  <TotalTime>5</TotalTime>
  <ScaleCrop>false</ScaleCrop>
  <LinksUpToDate>false</LinksUpToDate>
  <CharactersWithSpaces>23224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2024-11-14T02:57:00Z</dcterms:created>
  <dc:creator>Administrator</dc:creator>
  <cp:lastModifiedBy>吴茂宇</cp:lastModifiedBy>
  <cp:lastPrinted>2020-11-12T08:58:00Z</cp:lastPrinted>
  <dcterms:modified xsi:type="dcterms:W3CDTF">2024-11-25T07:48:04Z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36F1D4DB5D064515A8F0F1689E887B6F_13</vt:lpwstr>
  </property>
</Properties>
</file>